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C2E03" w14:textId="77777777" w:rsidR="00270CFE" w:rsidRDefault="00270CFE" w:rsidP="00270CFE">
      <w:pPr>
        <w:pBdr>
          <w:top w:val="single" w:sz="4" w:space="1" w:color="auto"/>
          <w:left w:val="single" w:sz="4" w:space="4" w:color="auto"/>
          <w:bottom w:val="single" w:sz="4" w:space="1" w:color="auto"/>
          <w:right w:val="single" w:sz="4" w:space="4" w:color="auto"/>
        </w:pBdr>
        <w:spacing w:after="0"/>
        <w:rPr>
          <w:rFonts w:cstheme="minorHAnsi"/>
          <w:b/>
          <w:lang w:val="en-US"/>
        </w:rPr>
      </w:pPr>
    </w:p>
    <w:p w14:paraId="70845907" w14:textId="122F11D7" w:rsidR="004D515B" w:rsidRPr="004D515B" w:rsidRDefault="004D515B" w:rsidP="00270CFE">
      <w:pPr>
        <w:pBdr>
          <w:top w:val="single" w:sz="4" w:space="1" w:color="auto"/>
          <w:left w:val="single" w:sz="4" w:space="4" w:color="auto"/>
          <w:bottom w:val="single" w:sz="4" w:space="1" w:color="auto"/>
          <w:right w:val="single" w:sz="4" w:space="4" w:color="auto"/>
        </w:pBd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270CFE">
      <w:pPr>
        <w:pBdr>
          <w:top w:val="single" w:sz="4" w:space="1" w:color="auto"/>
          <w:left w:val="single" w:sz="4" w:space="4" w:color="auto"/>
          <w:bottom w:val="single" w:sz="4" w:space="1" w:color="auto"/>
          <w:right w:val="single" w:sz="4" w:space="4" w:color="auto"/>
        </w:pBd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270CFE">
      <w:pPr>
        <w:pBdr>
          <w:top w:val="single" w:sz="4" w:space="1" w:color="auto"/>
          <w:left w:val="single" w:sz="4" w:space="4" w:color="auto"/>
          <w:bottom w:val="single" w:sz="4" w:space="1" w:color="auto"/>
          <w:right w:val="single" w:sz="4" w:space="4" w:color="auto"/>
        </w:pBd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270CFE">
      <w:pPr>
        <w:pBdr>
          <w:top w:val="single" w:sz="4" w:space="1" w:color="auto"/>
          <w:left w:val="single" w:sz="4" w:space="4" w:color="auto"/>
          <w:bottom w:val="single" w:sz="4" w:space="1" w:color="auto"/>
          <w:right w:val="single" w:sz="4" w:space="4" w:color="auto"/>
        </w:pBdr>
        <w:jc w:val="both"/>
        <w:rPr>
          <w:rFonts w:cstheme="minorHAnsi"/>
          <w:sz w:val="18"/>
          <w:szCs w:val="18"/>
          <w:lang w:val="en-US"/>
        </w:rPr>
      </w:pPr>
    </w:p>
    <w:p w14:paraId="710C3B09" w14:textId="77777777" w:rsidR="00E676CF" w:rsidRPr="005F3332" w:rsidRDefault="00E676CF" w:rsidP="00270CFE">
      <w:pPr>
        <w:pBdr>
          <w:top w:val="single" w:sz="4" w:space="1" w:color="auto"/>
          <w:left w:val="single" w:sz="4" w:space="4" w:color="auto"/>
          <w:bottom w:val="single" w:sz="4" w:space="1" w:color="auto"/>
          <w:right w:val="single" w:sz="4" w:space="4" w:color="auto"/>
        </w:pBdr>
        <w:jc w:val="both"/>
        <w:rPr>
          <w:rFonts w:cstheme="minorHAnsi"/>
          <w:sz w:val="18"/>
          <w:szCs w:val="18"/>
          <w:lang w:val="en-US"/>
        </w:rPr>
      </w:pPr>
    </w:p>
    <w:p w14:paraId="5E530B89" w14:textId="77777777" w:rsidR="00E676CF" w:rsidRPr="00711517" w:rsidRDefault="00E676CF" w:rsidP="00270CFE">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4C8ECCAA" w14:textId="77777777" w:rsidR="00F33664" w:rsidRPr="00711517" w:rsidRDefault="00F33664" w:rsidP="00270CFE">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1D4E8242" w14:textId="77777777" w:rsidR="00F33664" w:rsidRPr="00711517" w:rsidRDefault="00F33664" w:rsidP="00270CFE">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67E7D20D" w14:textId="77777777" w:rsidR="004E4C23" w:rsidRPr="00711517" w:rsidRDefault="004E4C23" w:rsidP="00270CFE">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43721FC7" w14:textId="77777777" w:rsidR="004E4C23" w:rsidRPr="00711517" w:rsidRDefault="004E4C23" w:rsidP="00270CFE">
      <w:pPr>
        <w:pBdr>
          <w:top w:val="single" w:sz="4" w:space="1" w:color="auto"/>
          <w:left w:val="single" w:sz="4" w:space="4" w:color="auto"/>
          <w:bottom w:val="single" w:sz="4" w:space="1" w:color="auto"/>
          <w:right w:val="single" w:sz="4" w:space="4" w:color="auto"/>
        </w:pBdr>
        <w:jc w:val="center"/>
        <w:rPr>
          <w:rFonts w:cstheme="minorHAnsi"/>
          <w:sz w:val="36"/>
          <w:szCs w:val="36"/>
          <w:lang w:val="en-US"/>
        </w:rPr>
      </w:pPr>
    </w:p>
    <w:p w14:paraId="0C39F415" w14:textId="77777777" w:rsidR="00A63308" w:rsidRPr="00711517" w:rsidRDefault="00F33664" w:rsidP="00270CFE">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270CFE">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3762B55B" w14:textId="77777777" w:rsidR="00F33664" w:rsidRPr="00711517" w:rsidRDefault="00F33664" w:rsidP="00270CFE">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60D424A5" w14:textId="77777777" w:rsidR="00F33664" w:rsidRPr="007C74EA" w:rsidRDefault="00F33664" w:rsidP="00270CFE">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458EBDCF" w14:textId="30F8AD29" w:rsidR="007E1ACA" w:rsidRPr="007C74EA" w:rsidRDefault="00736101" w:rsidP="00270CFE">
      <w:pPr>
        <w:pBdr>
          <w:top w:val="single" w:sz="4" w:space="1" w:color="auto"/>
          <w:left w:val="single" w:sz="4" w:space="4" w:color="auto"/>
          <w:bottom w:val="single" w:sz="4" w:space="1" w:color="auto"/>
          <w:right w:val="single" w:sz="4" w:space="4" w:color="auto"/>
        </w:pBdr>
        <w:jc w:val="both"/>
        <w:rPr>
          <w:rFonts w:cstheme="minorHAnsi"/>
          <w:sz w:val="24"/>
          <w:szCs w:val="24"/>
          <w:lang w:val="en-US"/>
        </w:rPr>
      </w:pPr>
      <w:r w:rsidRPr="007C74EA">
        <w:rPr>
          <w:rFonts w:cstheme="minorHAnsi"/>
          <w:sz w:val="24"/>
          <w:szCs w:val="24"/>
          <w:lang w:val="en-US"/>
        </w:rPr>
        <w:t xml:space="preserve">Sunset review of the anti-dumping measure levied on Brazilian imports of </w:t>
      </w:r>
      <w:r w:rsidR="00F16A56" w:rsidRPr="007C74EA">
        <w:rPr>
          <w:rFonts w:cstheme="minorHAnsi"/>
          <w:sz w:val="24"/>
          <w:szCs w:val="24"/>
          <w:lang w:val="en-US"/>
        </w:rPr>
        <w:t>Sodium Acid Ppyrophosphate (SAPP)</w:t>
      </w:r>
      <w:r w:rsidRPr="007C74EA">
        <w:rPr>
          <w:rFonts w:cstheme="minorHAnsi"/>
          <w:sz w:val="24"/>
          <w:szCs w:val="24"/>
          <w:lang w:val="en-US"/>
        </w:rPr>
        <w:t xml:space="preserve">, </w:t>
      </w:r>
      <w:r w:rsidR="007E1ACA" w:rsidRPr="007C74EA">
        <w:rPr>
          <w:rFonts w:cstheme="minorHAnsi"/>
          <w:sz w:val="24"/>
          <w:szCs w:val="24"/>
          <w:lang w:val="en-US"/>
        </w:rPr>
        <w:t xml:space="preserve">usually classified under </w:t>
      </w:r>
      <w:r w:rsidR="00D3680E" w:rsidRPr="007C74EA">
        <w:rPr>
          <w:rFonts w:cstheme="minorHAnsi"/>
          <w:sz w:val="24"/>
          <w:szCs w:val="24"/>
          <w:lang w:val="en-US"/>
        </w:rPr>
        <w:t>sub</w:t>
      </w:r>
      <w:r w:rsidR="007E1ACA" w:rsidRPr="007C74EA">
        <w:rPr>
          <w:rFonts w:cstheme="minorHAnsi"/>
          <w:sz w:val="24"/>
          <w:szCs w:val="24"/>
          <w:lang w:val="en-US"/>
        </w:rPr>
        <w:t xml:space="preserve">item(s) </w:t>
      </w:r>
      <w:r w:rsidR="009A3A14" w:rsidRPr="007C74EA">
        <w:rPr>
          <w:rFonts w:cstheme="minorHAnsi"/>
          <w:sz w:val="24"/>
          <w:szCs w:val="24"/>
          <w:lang w:val="en-US"/>
        </w:rPr>
        <w:t xml:space="preserve">2835.39.20 </w:t>
      </w:r>
      <w:r w:rsidR="007E1ACA" w:rsidRPr="007C74EA">
        <w:rPr>
          <w:rFonts w:cstheme="minorHAnsi"/>
          <w:sz w:val="24"/>
          <w:szCs w:val="24"/>
          <w:lang w:val="en-US"/>
        </w:rPr>
        <w:t xml:space="preserve">of the MERCOSUR Common Nomenclature (NCM – Nomenclatura Comum do MERCOSUL), </w:t>
      </w:r>
      <w:bookmarkStart w:id="0" w:name="_Hlk37670753"/>
      <w:r w:rsidR="00A320F2" w:rsidRPr="007C74EA">
        <w:rPr>
          <w:rFonts w:cstheme="minorHAnsi"/>
          <w:sz w:val="24"/>
          <w:szCs w:val="24"/>
          <w:lang w:val="en-US"/>
        </w:rPr>
        <w:t>originating in</w:t>
      </w:r>
      <w:bookmarkEnd w:id="0"/>
      <w:r w:rsidR="00A320F2" w:rsidRPr="007C74EA">
        <w:rPr>
          <w:rFonts w:cstheme="minorHAnsi"/>
          <w:szCs w:val="24"/>
          <w:lang w:val="en-US"/>
        </w:rPr>
        <w:t xml:space="preserve"> </w:t>
      </w:r>
      <w:r w:rsidR="00173723" w:rsidRPr="007C74EA">
        <w:rPr>
          <w:rFonts w:cstheme="minorHAnsi"/>
          <w:sz w:val="24"/>
          <w:szCs w:val="24"/>
          <w:lang w:val="en-US"/>
        </w:rPr>
        <w:t xml:space="preserve">Canada, </w:t>
      </w:r>
      <w:r w:rsidR="00B71D62" w:rsidRPr="007C74EA">
        <w:rPr>
          <w:rFonts w:cstheme="minorHAnsi"/>
          <w:sz w:val="24"/>
          <w:szCs w:val="24"/>
          <w:lang w:val="en-US"/>
        </w:rPr>
        <w:t xml:space="preserve">People’s </w:t>
      </w:r>
      <w:r w:rsidR="00173723" w:rsidRPr="007C74EA">
        <w:rPr>
          <w:rFonts w:cstheme="minorHAnsi"/>
          <w:sz w:val="24"/>
          <w:szCs w:val="24"/>
          <w:lang w:val="en-US"/>
        </w:rPr>
        <w:t>Republic of China and United States</w:t>
      </w:r>
      <w:r w:rsidR="00B71D62" w:rsidRPr="007C74EA">
        <w:rPr>
          <w:rFonts w:cstheme="minorHAnsi"/>
          <w:sz w:val="24"/>
          <w:szCs w:val="24"/>
          <w:lang w:val="en-US"/>
        </w:rPr>
        <w:t xml:space="preserve"> of America</w:t>
      </w:r>
      <w:r w:rsidR="00091B42" w:rsidRPr="007C74EA">
        <w:rPr>
          <w:rFonts w:cstheme="minorHAnsi"/>
          <w:sz w:val="24"/>
          <w:szCs w:val="24"/>
          <w:lang w:val="en-US"/>
        </w:rPr>
        <w:t>.</w:t>
      </w:r>
    </w:p>
    <w:p w14:paraId="10148F4F" w14:textId="77777777" w:rsidR="00A63308" w:rsidRPr="00711517" w:rsidRDefault="00A63308" w:rsidP="00270CFE">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7FCA8CC2" w14:textId="77777777" w:rsidR="001D6577" w:rsidRPr="00711517" w:rsidRDefault="001D6577" w:rsidP="00270CFE">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1886DE1F" w14:textId="77777777" w:rsidR="00736101" w:rsidRPr="00711517" w:rsidRDefault="00736101" w:rsidP="00270CFE">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0904179E" w14:textId="77777777" w:rsidR="00736101" w:rsidRPr="00711517" w:rsidRDefault="00736101" w:rsidP="00270CFE">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6334C1E2" w14:textId="452F9A31" w:rsidR="00237466" w:rsidRPr="00711517" w:rsidRDefault="00237466" w:rsidP="00270CFE">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205D6BF9" w14:textId="77777777" w:rsidR="00A63308" w:rsidRPr="00711517" w:rsidRDefault="00A63308" w:rsidP="00270CFE">
      <w:pPr>
        <w:pBdr>
          <w:top w:val="single" w:sz="4" w:space="1" w:color="auto"/>
          <w:left w:val="single" w:sz="4" w:space="4" w:color="auto"/>
          <w:bottom w:val="single" w:sz="4" w:space="1" w:color="auto"/>
          <w:right w:val="single" w:sz="4" w:space="4" w:color="auto"/>
        </w:pBdr>
        <w:rPr>
          <w:rFonts w:cstheme="minorHAnsi"/>
          <w:sz w:val="24"/>
          <w:szCs w:val="24"/>
          <w:lang w:val="en-US"/>
        </w:rPr>
      </w:pPr>
    </w:p>
    <w:p w14:paraId="3B03E0B0" w14:textId="6932706F" w:rsidR="007E1ACA" w:rsidRPr="00003128" w:rsidRDefault="00ED7DAB" w:rsidP="00270CFE">
      <w:pPr>
        <w:pBdr>
          <w:top w:val="single" w:sz="4" w:space="1" w:color="auto"/>
          <w:left w:val="single" w:sz="4" w:space="4" w:color="auto"/>
          <w:bottom w:val="single" w:sz="4" w:space="1" w:color="auto"/>
          <w:right w:val="single" w:sz="4" w:space="4" w:color="auto"/>
        </w:pBdr>
        <w:spacing w:after="0"/>
        <w:jc w:val="center"/>
        <w:rPr>
          <w:rFonts w:cstheme="minorHAnsi"/>
          <w:bCs/>
          <w:sz w:val="24"/>
          <w:szCs w:val="24"/>
          <w:lang w:val="en-US"/>
        </w:rPr>
      </w:pPr>
      <w:r w:rsidRPr="00003128">
        <w:rPr>
          <w:rFonts w:cstheme="minorHAnsi"/>
          <w:sz w:val="24"/>
          <w:szCs w:val="24"/>
          <w:lang w:val="en-US"/>
        </w:rPr>
        <w:t xml:space="preserve">Process Sei </w:t>
      </w:r>
      <w:r w:rsidR="00AD337F" w:rsidRPr="00003128">
        <w:rPr>
          <w:rFonts w:cstheme="minorHAnsi"/>
          <w:sz w:val="24"/>
          <w:szCs w:val="24"/>
          <w:lang w:val="en-US"/>
        </w:rPr>
        <w:t>19972.000299/2025-08</w:t>
      </w:r>
      <w:r w:rsidRPr="00003128">
        <w:rPr>
          <w:rFonts w:cstheme="minorHAnsi"/>
          <w:color w:val="FF0000"/>
          <w:sz w:val="24"/>
          <w:szCs w:val="24"/>
          <w:lang w:val="en-US"/>
        </w:rPr>
        <w:t xml:space="preserve"> </w:t>
      </w:r>
      <w:r w:rsidRPr="00003128">
        <w:rPr>
          <w:rFonts w:cstheme="minorHAnsi"/>
          <w:lang w:val="en-US"/>
        </w:rPr>
        <w:t xml:space="preserve">restricted </w:t>
      </w:r>
      <w:r w:rsidRPr="00003128">
        <w:rPr>
          <w:rFonts w:cstheme="minorHAnsi"/>
          <w:sz w:val="24"/>
          <w:szCs w:val="24"/>
          <w:lang w:val="en-US"/>
        </w:rPr>
        <w:t>and</w:t>
      </w:r>
      <w:r w:rsidRPr="00003128">
        <w:rPr>
          <w:rFonts w:cstheme="minorHAnsi"/>
          <w:lang w:val="en-US"/>
        </w:rPr>
        <w:t xml:space="preserve"> </w:t>
      </w:r>
      <w:r w:rsidR="00003128" w:rsidRPr="00003128">
        <w:rPr>
          <w:rFonts w:cstheme="minorHAnsi"/>
          <w:sz w:val="24"/>
          <w:szCs w:val="24"/>
          <w:lang w:val="en-US"/>
        </w:rPr>
        <w:t>19972.000300/2025-96</w:t>
      </w:r>
      <w:r w:rsidRPr="00003128">
        <w:rPr>
          <w:rFonts w:cstheme="minorHAnsi"/>
          <w:sz w:val="24"/>
          <w:szCs w:val="24"/>
          <w:lang w:val="en-US"/>
        </w:rPr>
        <w:t xml:space="preserve"> confidentia</w:t>
      </w:r>
      <w:r w:rsidR="00711517" w:rsidRPr="00003128">
        <w:rPr>
          <w:rFonts w:cstheme="minorHAnsi"/>
          <w:sz w:val="24"/>
          <w:szCs w:val="24"/>
          <w:lang w:val="en-US"/>
        </w:rPr>
        <w:t>l</w:t>
      </w:r>
    </w:p>
    <w:p w14:paraId="1ECF8061" w14:textId="7A07E11A" w:rsidR="007E1ACA" w:rsidRPr="00F758E6" w:rsidRDefault="007E1ACA" w:rsidP="00270CFE">
      <w:pPr>
        <w:pBdr>
          <w:top w:val="single" w:sz="4" w:space="1" w:color="auto"/>
          <w:left w:val="single" w:sz="4" w:space="4" w:color="auto"/>
          <w:bottom w:val="single" w:sz="4" w:space="1" w:color="auto"/>
          <w:right w:val="single" w:sz="4" w:space="4" w:color="auto"/>
        </w:pBdr>
        <w:spacing w:after="0"/>
        <w:jc w:val="center"/>
        <w:rPr>
          <w:rFonts w:cstheme="minorHAnsi"/>
          <w:color w:val="FF0000"/>
          <w:sz w:val="24"/>
          <w:szCs w:val="24"/>
          <w:lang w:val="en-US"/>
        </w:rPr>
      </w:pPr>
      <w:r w:rsidRPr="00711517">
        <w:rPr>
          <w:rFonts w:cstheme="minorHAnsi"/>
          <w:sz w:val="24"/>
          <w:szCs w:val="24"/>
          <w:lang w:val="en-US"/>
        </w:rPr>
        <w:t xml:space="preserve">Contact: (+55 61) 2027- </w:t>
      </w:r>
      <w:r w:rsidR="00F758E6" w:rsidRPr="00F758E6">
        <w:rPr>
          <w:rFonts w:cstheme="minorHAnsi"/>
          <w:sz w:val="24"/>
          <w:szCs w:val="24"/>
          <w:lang w:val="en-US"/>
        </w:rPr>
        <w:t xml:space="preserve">7770 </w:t>
      </w:r>
      <w:r w:rsidR="00F758E6">
        <w:rPr>
          <w:rFonts w:cstheme="minorHAnsi"/>
          <w:sz w:val="24"/>
          <w:szCs w:val="24"/>
          <w:lang w:val="en-US"/>
        </w:rPr>
        <w:t>or</w:t>
      </w:r>
      <w:r w:rsidR="00F758E6" w:rsidRPr="00F758E6">
        <w:rPr>
          <w:rFonts w:cstheme="minorHAnsi"/>
          <w:sz w:val="24"/>
          <w:szCs w:val="24"/>
          <w:lang w:val="en-US"/>
        </w:rPr>
        <w:t xml:space="preserve"> </w:t>
      </w:r>
      <w:r w:rsidR="00F758E6" w:rsidRPr="00F758E6">
        <w:rPr>
          <w:rFonts w:cstheme="minorHAnsi"/>
          <w:bCs/>
          <w:sz w:val="24"/>
          <w:szCs w:val="24"/>
          <w:lang w:val="en-US"/>
        </w:rPr>
        <w:t>sapp_rev@mdic.gov.br</w:t>
      </w:r>
    </w:p>
    <w:p w14:paraId="6296FC2F" w14:textId="77777777" w:rsidR="001D6577" w:rsidRPr="00711517" w:rsidRDefault="001D6577" w:rsidP="00237466">
      <w:pP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0358D5E6" w:rsidR="003D2FA9" w:rsidRPr="00C30187" w:rsidRDefault="003D2FA9" w:rsidP="00C30187">
      <w:pPr>
        <w:pStyle w:val="Heading5"/>
        <w:rPr>
          <w:rFonts w:asciiTheme="minorHAnsi" w:hAnsiTheme="minorHAnsi" w:cstheme="minorHAnsi"/>
          <w:b/>
        </w:rPr>
      </w:pPr>
      <w:r w:rsidRPr="00C30187">
        <w:rPr>
          <w:rFonts w:asciiTheme="minorHAnsi" w:hAnsiTheme="minorHAnsi" w:cstheme="minorHAnsi"/>
          <w:b/>
        </w:rPr>
        <w:t>GENERAL INSTRUCTIONS</w:t>
      </w:r>
    </w:p>
    <w:p w14:paraId="51EF3F9B" w14:textId="77777777" w:rsidR="00FA445D" w:rsidRPr="00FA445D" w:rsidRDefault="00FA445D" w:rsidP="00FA445D">
      <w:pPr>
        <w:pStyle w:val="ListParagraph"/>
        <w:ind w:left="1080"/>
        <w:jc w:val="both"/>
        <w:rPr>
          <w:rFonts w:eastAsia="Times New Roman" w:cstheme="minorHAnsi"/>
          <w:sz w:val="24"/>
          <w:szCs w:val="24"/>
          <w:lang w:val="en-US" w:eastAsia="pt-BR"/>
        </w:rPr>
      </w:pPr>
    </w:p>
    <w:p w14:paraId="0552DCF5" w14:textId="712C7772" w:rsidR="003D2FA9" w:rsidRPr="00711517" w:rsidRDefault="00242520" w:rsidP="00782AEF">
      <w:pPr>
        <w:pStyle w:val="ListParagraph"/>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 xml:space="preserve">of the anti-dumping </w:t>
      </w:r>
      <w:r w:rsidR="00422A8D" w:rsidRPr="007C74EA">
        <w:rPr>
          <w:rFonts w:cstheme="minorHAnsi"/>
          <w:sz w:val="24"/>
          <w:szCs w:val="24"/>
          <w:lang w:val="en-US"/>
        </w:rPr>
        <w:t xml:space="preserve">measure levied on Brazilian imports of </w:t>
      </w:r>
      <w:r w:rsidR="00237466" w:rsidRPr="007C74EA">
        <w:rPr>
          <w:rFonts w:cstheme="minorHAnsi"/>
          <w:sz w:val="24"/>
          <w:szCs w:val="24"/>
          <w:lang w:val="en-US"/>
        </w:rPr>
        <w:t>Sodium Acid Ppyrophosphate (SAPP), usually classified under subitem(s) 2835.39.20</w:t>
      </w:r>
      <w:r w:rsidR="00422A8D" w:rsidRPr="007C74EA">
        <w:rPr>
          <w:rFonts w:cstheme="minorHAnsi"/>
          <w:sz w:val="24"/>
          <w:szCs w:val="24"/>
          <w:lang w:val="en-US"/>
        </w:rPr>
        <w:t xml:space="preserve"> of the MERCOSUR Common Nomenclature (NCM – Nomenclatura Comum do MERCOSUL), </w:t>
      </w:r>
      <w:r w:rsidR="00A320F2" w:rsidRPr="007C74EA">
        <w:rPr>
          <w:rFonts w:cstheme="minorHAnsi"/>
          <w:sz w:val="24"/>
          <w:szCs w:val="24"/>
          <w:lang w:val="en-US"/>
        </w:rPr>
        <w:t>originating in</w:t>
      </w:r>
      <w:r w:rsidR="00A320F2" w:rsidRPr="007C74EA">
        <w:rPr>
          <w:rFonts w:cstheme="minorHAnsi"/>
          <w:szCs w:val="24"/>
          <w:lang w:val="en-US"/>
        </w:rPr>
        <w:t xml:space="preserve"> </w:t>
      </w:r>
      <w:r w:rsidR="00237466" w:rsidRPr="007C74EA">
        <w:rPr>
          <w:rFonts w:cstheme="minorHAnsi"/>
          <w:sz w:val="24"/>
          <w:szCs w:val="24"/>
          <w:lang w:val="en-US"/>
        </w:rPr>
        <w:t xml:space="preserve">Canada, People’s Republic of China (China) and United States of America </w:t>
      </w:r>
      <w:r w:rsidR="00237466">
        <w:rPr>
          <w:rFonts w:cstheme="minorHAnsi"/>
          <w:sz w:val="24"/>
          <w:szCs w:val="24"/>
          <w:lang w:val="en-US"/>
        </w:rPr>
        <w:t>(USA)</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ListParagraph"/>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ListParagraph"/>
        <w:spacing w:line="240" w:lineRule="auto"/>
        <w:ind w:left="1080"/>
        <w:jc w:val="both"/>
        <w:rPr>
          <w:rFonts w:cstheme="minorHAnsi"/>
          <w:sz w:val="24"/>
          <w:szCs w:val="24"/>
          <w:lang w:val="en-US"/>
        </w:rPr>
      </w:pPr>
    </w:p>
    <w:p w14:paraId="4087CDAE" w14:textId="77777777" w:rsidR="000120D0" w:rsidRPr="00711517" w:rsidRDefault="003D2FA9" w:rsidP="00782AEF">
      <w:pPr>
        <w:pStyle w:val="ListParagraph"/>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ListParagraph"/>
        <w:spacing w:after="0" w:line="240" w:lineRule="auto"/>
        <w:ind w:left="1080"/>
        <w:jc w:val="both"/>
        <w:rPr>
          <w:rFonts w:cstheme="minorHAnsi"/>
          <w:sz w:val="24"/>
          <w:szCs w:val="24"/>
          <w:lang w:val="en-US"/>
        </w:rPr>
      </w:pPr>
    </w:p>
    <w:p w14:paraId="19839008" w14:textId="77777777" w:rsidR="003D2FA9"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ListParagraph"/>
        <w:spacing w:after="0" w:line="240" w:lineRule="auto"/>
        <w:ind w:left="1080"/>
        <w:jc w:val="both"/>
        <w:rPr>
          <w:rFonts w:cstheme="minorHAnsi"/>
          <w:sz w:val="24"/>
          <w:szCs w:val="24"/>
          <w:lang w:val="en-US"/>
        </w:rPr>
      </w:pPr>
    </w:p>
    <w:p w14:paraId="1B8E80C1" w14:textId="77777777" w:rsidR="003D2FA9"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ListParagraph"/>
        <w:ind w:left="1080"/>
        <w:jc w:val="both"/>
        <w:rPr>
          <w:rFonts w:cstheme="minorHAnsi"/>
          <w:sz w:val="24"/>
          <w:szCs w:val="24"/>
          <w:lang w:val="en-US"/>
        </w:rPr>
      </w:pPr>
    </w:p>
    <w:p w14:paraId="01E7CB5F" w14:textId="77777777" w:rsidR="000120D0"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ListParagraph"/>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ListParagraph"/>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ListParagraph"/>
        <w:rPr>
          <w:rFonts w:cstheme="minorHAnsi"/>
          <w:sz w:val="24"/>
          <w:szCs w:val="24"/>
          <w:lang w:val="en-US"/>
        </w:rPr>
      </w:pPr>
    </w:p>
    <w:p w14:paraId="73DDA77C" w14:textId="5CD1C418" w:rsidR="00E676CF" w:rsidRPr="00711517" w:rsidRDefault="00E676CF" w:rsidP="00782AEF">
      <w:pPr>
        <w:pStyle w:val="ListParagraph"/>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ListParagraph"/>
        <w:ind w:left="1080"/>
        <w:jc w:val="both"/>
        <w:rPr>
          <w:rFonts w:cstheme="minorHAnsi"/>
          <w:sz w:val="24"/>
          <w:szCs w:val="24"/>
          <w:lang w:val="en-US"/>
        </w:rPr>
      </w:pPr>
    </w:p>
    <w:p w14:paraId="124FC399" w14:textId="77777777" w:rsidR="003D2FA9"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ListParagraph"/>
        <w:spacing w:after="0" w:line="240" w:lineRule="auto"/>
        <w:ind w:left="1080"/>
        <w:jc w:val="both"/>
        <w:rPr>
          <w:rFonts w:cstheme="minorHAnsi"/>
          <w:sz w:val="24"/>
          <w:szCs w:val="24"/>
          <w:lang w:val="en-US"/>
        </w:rPr>
      </w:pPr>
    </w:p>
    <w:p w14:paraId="0232C0FA" w14:textId="77777777" w:rsidR="003D2FA9"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ListParagraph"/>
        <w:ind w:left="1080"/>
        <w:jc w:val="both"/>
        <w:rPr>
          <w:rFonts w:cstheme="minorHAnsi"/>
          <w:sz w:val="24"/>
          <w:szCs w:val="24"/>
          <w:lang w:val="en-US"/>
        </w:rPr>
      </w:pPr>
    </w:p>
    <w:p w14:paraId="616B08AB" w14:textId="77777777" w:rsidR="003D2FA9"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ListParagraph"/>
        <w:ind w:left="1080"/>
        <w:jc w:val="both"/>
        <w:rPr>
          <w:rFonts w:cstheme="minorHAnsi"/>
          <w:sz w:val="24"/>
          <w:szCs w:val="24"/>
          <w:lang w:val="en-US"/>
        </w:rPr>
      </w:pPr>
    </w:p>
    <w:p w14:paraId="2AA80E4C" w14:textId="77777777" w:rsidR="003D2FA9"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ListParagraph"/>
        <w:spacing w:after="0" w:line="240" w:lineRule="auto"/>
        <w:ind w:left="1077"/>
        <w:jc w:val="both"/>
        <w:rPr>
          <w:rFonts w:cstheme="minorHAnsi"/>
          <w:sz w:val="24"/>
          <w:szCs w:val="24"/>
          <w:lang w:val="en-US"/>
        </w:rPr>
      </w:pPr>
    </w:p>
    <w:p w14:paraId="0A21640B" w14:textId="77777777" w:rsidR="001D463B" w:rsidRPr="00711517" w:rsidRDefault="003D2FA9" w:rsidP="00782AEF">
      <w:pPr>
        <w:pStyle w:val="ListParagraph"/>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ListParagraph"/>
        <w:rPr>
          <w:rFonts w:cstheme="minorHAnsi"/>
          <w:sz w:val="24"/>
          <w:szCs w:val="24"/>
          <w:lang w:val="en-US"/>
        </w:rPr>
      </w:pPr>
    </w:p>
    <w:p w14:paraId="24135B04" w14:textId="23322001" w:rsidR="00ED7DAB" w:rsidRPr="00711517" w:rsidRDefault="00C3340A" w:rsidP="008641F2">
      <w:pPr>
        <w:pStyle w:val="ListParagraph"/>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 xml:space="preserve">“peticionamento intercorrente”,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SEI Processes n</w:t>
      </w:r>
      <w:r w:rsidRPr="00BA69EB">
        <w:rPr>
          <w:rFonts w:cstheme="minorHAnsi"/>
          <w:sz w:val="24"/>
          <w:szCs w:val="24"/>
          <w:u w:val="single"/>
          <w:vertAlign w:val="superscript"/>
          <w:lang w:val="en"/>
        </w:rPr>
        <w:t>os</w:t>
      </w:r>
      <w:r w:rsidRPr="00BA69EB">
        <w:rPr>
          <w:rFonts w:cstheme="minorHAnsi"/>
          <w:color w:val="FF0000"/>
          <w:sz w:val="24"/>
          <w:szCs w:val="24"/>
          <w:lang w:val="en"/>
        </w:rPr>
        <w:t xml:space="preserve"> </w:t>
      </w:r>
      <w:r w:rsidR="00390097" w:rsidRPr="00390097">
        <w:rPr>
          <w:rFonts w:cstheme="minorHAnsi"/>
          <w:sz w:val="24"/>
          <w:szCs w:val="24"/>
          <w:lang w:val="en-US"/>
        </w:rPr>
        <w:t>19972.000299/2025-08</w:t>
      </w:r>
      <w:r w:rsidRPr="00BA69EB">
        <w:rPr>
          <w:rFonts w:cstheme="minorHAnsi"/>
          <w:sz w:val="24"/>
          <w:szCs w:val="24"/>
          <w:lang w:val="en"/>
        </w:rPr>
        <w:t xml:space="preserve"> restricted and</w:t>
      </w:r>
      <w:r w:rsidRPr="00BA69EB">
        <w:rPr>
          <w:rFonts w:cstheme="minorHAnsi"/>
          <w:color w:val="FF0000"/>
          <w:sz w:val="24"/>
          <w:szCs w:val="24"/>
          <w:lang w:val="en"/>
        </w:rPr>
        <w:t xml:space="preserve"> </w:t>
      </w:r>
      <w:r w:rsidR="00D63328" w:rsidRPr="00D63328">
        <w:rPr>
          <w:rFonts w:cstheme="minorHAnsi"/>
          <w:sz w:val="24"/>
          <w:szCs w:val="24"/>
          <w:lang w:val="en-US"/>
        </w:rPr>
        <w:t>19972.000300/2025-96</w:t>
      </w:r>
      <w:r w:rsidRPr="00BA69EB">
        <w:rPr>
          <w:rFonts w:cstheme="minorHAnsi"/>
          <w:color w:val="FF0000"/>
          <w:sz w:val="24"/>
          <w:szCs w:val="24"/>
          <w:lang w:val="en"/>
        </w:rPr>
        <w:t xml:space="preserve"> </w:t>
      </w:r>
      <w:r w:rsidRPr="00BA69EB">
        <w:rPr>
          <w:rFonts w:cstheme="minorHAnsi"/>
          <w:sz w:val="24"/>
          <w:szCs w:val="24"/>
          <w:lang w:val="en"/>
        </w:rPr>
        <w:t>confidential in the Electronic Information System - SEI, available in</w:t>
      </w:r>
      <w:r w:rsidR="009D71A1">
        <w:rPr>
          <w:rFonts w:cstheme="minorHAnsi"/>
          <w:sz w:val="24"/>
          <w:szCs w:val="24"/>
          <w:lang w:val="en"/>
        </w:rPr>
        <w:t xml:space="preserve"> </w:t>
      </w:r>
      <w:hyperlink r:id="rId11" w:history="1">
        <w:r w:rsidR="009D71A1" w:rsidRPr="00291E9A">
          <w:rPr>
            <w:rStyle w:val="Hyperlink"/>
            <w:rFonts w:cstheme="minorHAnsi"/>
            <w:sz w:val="24"/>
            <w:szCs w:val="24"/>
            <w:lang w:val="en"/>
          </w:rPr>
          <w:t>https://colaboragov.sei.gov.br/sei/controlador_externo.php?acao=usuario_externo_logar&amp;id_orgao_acesso_externo=7</w:t>
        </w:r>
      </w:hyperlink>
      <w:bookmarkEnd w:id="2"/>
      <w:r w:rsidR="00ED7DAB" w:rsidRPr="00711517">
        <w:rPr>
          <w:rFonts w:cstheme="minorHAnsi"/>
          <w:sz w:val="24"/>
          <w:szCs w:val="24"/>
          <w:lang w:val="en"/>
        </w:rPr>
        <w:t>.</w:t>
      </w:r>
      <w:r w:rsidR="00D63328">
        <w:rPr>
          <w:rFonts w:cstheme="minorHAnsi"/>
          <w:sz w:val="24"/>
          <w:szCs w:val="24"/>
          <w:lang w:val="en"/>
        </w:rPr>
        <w:t xml:space="preserve"> </w:t>
      </w:r>
    </w:p>
    <w:p w14:paraId="145F1CCC" w14:textId="77777777" w:rsidR="009711F7" w:rsidRPr="00711517" w:rsidRDefault="009711F7" w:rsidP="009711F7">
      <w:pPr>
        <w:pStyle w:val="ListParagraph"/>
        <w:rPr>
          <w:rFonts w:cstheme="minorHAnsi"/>
          <w:sz w:val="24"/>
          <w:szCs w:val="24"/>
          <w:lang w:val="en-US"/>
        </w:rPr>
      </w:pPr>
    </w:p>
    <w:p w14:paraId="1FE07CE7" w14:textId="042CBAB0" w:rsidR="009711F7" w:rsidRPr="00711517" w:rsidRDefault="009711F7" w:rsidP="009711F7">
      <w:pPr>
        <w:pStyle w:val="ListParagraph"/>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ListParagraph"/>
        <w:rPr>
          <w:rFonts w:cstheme="minorHAnsi"/>
          <w:sz w:val="24"/>
          <w:szCs w:val="24"/>
          <w:lang w:val="en-US"/>
        </w:rPr>
      </w:pPr>
    </w:p>
    <w:p w14:paraId="02D8FC78" w14:textId="24DB1143" w:rsidR="00ED7DAB" w:rsidRPr="00711517" w:rsidRDefault="00ED7DAB" w:rsidP="00ED7DAB">
      <w:pPr>
        <w:pStyle w:val="ListParagraph"/>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ListParagraph"/>
        <w:rPr>
          <w:rFonts w:cstheme="minorHAnsi"/>
          <w:sz w:val="24"/>
          <w:szCs w:val="24"/>
          <w:lang w:val="en-US"/>
        </w:rPr>
      </w:pPr>
    </w:p>
    <w:p w14:paraId="29ECBEE2" w14:textId="39DC1F62" w:rsidR="00ED7DAB" w:rsidRPr="00711517" w:rsidRDefault="00ED7DAB" w:rsidP="00ED7DAB">
      <w:pPr>
        <w:pStyle w:val="ListParagraph"/>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ListParagraph"/>
        <w:rPr>
          <w:rFonts w:cstheme="minorHAnsi"/>
          <w:sz w:val="24"/>
          <w:szCs w:val="24"/>
          <w:lang w:val="en-US"/>
        </w:rPr>
      </w:pPr>
    </w:p>
    <w:p w14:paraId="6AE383E1" w14:textId="77777777" w:rsidR="00746039" w:rsidRPr="00711517" w:rsidRDefault="00746039" w:rsidP="00746039">
      <w:pPr>
        <w:pStyle w:val="ListParagraph"/>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ListParagraph"/>
        <w:spacing w:after="0" w:line="240" w:lineRule="auto"/>
        <w:ind w:left="1077"/>
        <w:jc w:val="both"/>
        <w:rPr>
          <w:rFonts w:cstheme="minorHAnsi"/>
          <w:sz w:val="24"/>
          <w:szCs w:val="24"/>
          <w:lang w:val="en-US"/>
        </w:rPr>
      </w:pPr>
    </w:p>
    <w:p w14:paraId="07A453A8" w14:textId="77777777" w:rsidR="00746039" w:rsidRPr="00711517" w:rsidRDefault="00746039" w:rsidP="00746039">
      <w:pPr>
        <w:pStyle w:val="ListParagraph"/>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ListParagraph"/>
        <w:spacing w:after="0" w:line="240" w:lineRule="auto"/>
        <w:ind w:left="1077"/>
        <w:jc w:val="both"/>
        <w:rPr>
          <w:rFonts w:cstheme="minorHAnsi"/>
          <w:sz w:val="24"/>
          <w:szCs w:val="24"/>
          <w:lang w:val="en-US"/>
        </w:rPr>
      </w:pPr>
    </w:p>
    <w:p w14:paraId="52DC9583" w14:textId="77777777" w:rsidR="00746039" w:rsidRPr="00711517" w:rsidRDefault="00746039" w:rsidP="00746039">
      <w:pPr>
        <w:pStyle w:val="ListParagraph"/>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ListParagraph"/>
        <w:spacing w:after="0" w:line="240" w:lineRule="auto"/>
        <w:ind w:left="1077"/>
        <w:jc w:val="both"/>
        <w:rPr>
          <w:rFonts w:cstheme="minorHAnsi"/>
          <w:sz w:val="24"/>
          <w:szCs w:val="24"/>
          <w:lang w:val="en-US"/>
        </w:rPr>
      </w:pPr>
    </w:p>
    <w:p w14:paraId="5FBF32B4" w14:textId="77777777" w:rsidR="00746039" w:rsidRPr="00711517" w:rsidRDefault="00746039" w:rsidP="00746039">
      <w:pPr>
        <w:pStyle w:val="ListParagraph"/>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ListParagraph"/>
        <w:spacing w:after="0" w:line="240" w:lineRule="auto"/>
        <w:ind w:left="1077"/>
        <w:jc w:val="both"/>
        <w:rPr>
          <w:rFonts w:cstheme="minorHAnsi"/>
          <w:sz w:val="24"/>
          <w:szCs w:val="24"/>
          <w:lang w:val="en-US"/>
        </w:rPr>
      </w:pPr>
    </w:p>
    <w:p w14:paraId="08AD66A8" w14:textId="77777777" w:rsidR="00746039" w:rsidRPr="00711517" w:rsidRDefault="00746039" w:rsidP="00746039">
      <w:pPr>
        <w:pStyle w:val="ListParagraph"/>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ListParagraph"/>
        <w:rPr>
          <w:rFonts w:cstheme="minorHAnsi"/>
          <w:sz w:val="24"/>
          <w:szCs w:val="24"/>
          <w:lang w:val="en-US"/>
        </w:rPr>
      </w:pPr>
    </w:p>
    <w:p w14:paraId="04FA89E3" w14:textId="0A44ABDD" w:rsidR="009711F7" w:rsidRPr="00AE0115" w:rsidRDefault="009711F7" w:rsidP="009711F7">
      <w:pPr>
        <w:pStyle w:val="ListParagraph"/>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ListParagraph"/>
        <w:rPr>
          <w:rFonts w:cstheme="minorHAnsi"/>
          <w:sz w:val="24"/>
          <w:szCs w:val="24"/>
          <w:lang w:val="en-US"/>
        </w:rPr>
      </w:pPr>
    </w:p>
    <w:p w14:paraId="0781F9FB" w14:textId="62D4C3B2" w:rsidR="00AE0115" w:rsidRPr="00AE0115" w:rsidRDefault="00AE0115" w:rsidP="19BE8D85">
      <w:pPr>
        <w:pStyle w:val="ListParagraph"/>
        <w:numPr>
          <w:ilvl w:val="0"/>
          <w:numId w:val="2"/>
        </w:numPr>
        <w:jc w:val="both"/>
        <w:rPr>
          <w:sz w:val="24"/>
          <w:szCs w:val="24"/>
          <w:lang w:val="en-US"/>
        </w:rPr>
      </w:pPr>
      <w:r w:rsidRPr="19BE8D85">
        <w:rPr>
          <w:sz w:val="24"/>
          <w:szCs w:val="24"/>
          <w:lang w:val="en-US"/>
        </w:rPr>
        <w:t xml:space="preserve">In accordance with the provisions of SECEX Ordinance No. </w:t>
      </w:r>
      <w:r w:rsidR="009630DD" w:rsidRPr="19BE8D85">
        <w:rPr>
          <w:sz w:val="24"/>
          <w:szCs w:val="24"/>
          <w:lang w:val="en-US"/>
        </w:rPr>
        <w:t>162</w:t>
      </w:r>
      <w:r w:rsidRPr="19BE8D85">
        <w:rPr>
          <w:sz w:val="24"/>
          <w:szCs w:val="24"/>
          <w:lang w:val="en-US"/>
        </w:rPr>
        <w:t xml:space="preserve">, </w:t>
      </w:r>
      <w:r w:rsidR="009630DD" w:rsidRPr="19BE8D85">
        <w:rPr>
          <w:sz w:val="24"/>
          <w:szCs w:val="24"/>
          <w:lang w:val="en-US"/>
        </w:rPr>
        <w:t xml:space="preserve">of </w:t>
      </w:r>
      <w:r w:rsidRPr="19BE8D85">
        <w:rPr>
          <w:sz w:val="24"/>
          <w:szCs w:val="24"/>
          <w:lang w:val="en-US"/>
        </w:rPr>
        <w:t>202</w:t>
      </w:r>
      <w:r w:rsidR="009630DD" w:rsidRPr="19BE8D85">
        <w:rPr>
          <w:sz w:val="24"/>
          <w:szCs w:val="24"/>
          <w:lang w:val="en-US"/>
        </w:rPr>
        <w:t>2</w:t>
      </w:r>
      <w:r w:rsidRPr="19BE8D85">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ListParagraph"/>
        <w:ind w:left="1080"/>
        <w:jc w:val="both"/>
        <w:rPr>
          <w:rFonts w:cstheme="minorHAnsi"/>
          <w:sz w:val="24"/>
          <w:szCs w:val="24"/>
          <w:lang w:val="en-US"/>
        </w:rPr>
      </w:pPr>
    </w:p>
    <w:p w14:paraId="5656E6E7" w14:textId="77777777" w:rsidR="00746039" w:rsidRPr="00711517" w:rsidRDefault="00746039" w:rsidP="00746039">
      <w:pPr>
        <w:pStyle w:val="ListParagraph"/>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4DC73552" w:rsidR="00A63308" w:rsidRPr="00711517" w:rsidRDefault="00F851FB" w:rsidP="000D7CD5">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ListParagraph"/>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ListParagraph"/>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ListParagraph"/>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ListParagraph"/>
        <w:ind w:left="360"/>
        <w:jc w:val="both"/>
        <w:rPr>
          <w:rFonts w:cstheme="minorHAnsi"/>
          <w:sz w:val="24"/>
          <w:szCs w:val="24"/>
          <w:lang w:val="en-US"/>
        </w:rPr>
      </w:pPr>
    </w:p>
    <w:p w14:paraId="4B502FD7" w14:textId="60D971FD"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ListParagraph"/>
        <w:spacing w:after="0" w:line="240" w:lineRule="auto"/>
        <w:ind w:left="792"/>
        <w:jc w:val="both"/>
        <w:rPr>
          <w:rFonts w:cstheme="minorHAnsi"/>
          <w:sz w:val="24"/>
          <w:szCs w:val="24"/>
          <w:lang w:val="en-US"/>
        </w:rPr>
      </w:pPr>
    </w:p>
    <w:p w14:paraId="0E87E311" w14:textId="77777777" w:rsidR="00A63308" w:rsidRPr="00711517" w:rsidRDefault="00A63308" w:rsidP="00782AEF">
      <w:pPr>
        <w:pStyle w:val="ListParagraph"/>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ListParagraph"/>
        <w:spacing w:after="0" w:line="240" w:lineRule="auto"/>
        <w:rPr>
          <w:rFonts w:cstheme="minorHAnsi"/>
          <w:color w:val="000000"/>
          <w:sz w:val="24"/>
          <w:szCs w:val="24"/>
          <w:lang w:val="en-US"/>
        </w:rPr>
      </w:pPr>
    </w:p>
    <w:p w14:paraId="4C2F4C62" w14:textId="77777777" w:rsidR="00A63308" w:rsidRPr="00711517" w:rsidRDefault="00A63308" w:rsidP="00782AEF">
      <w:pPr>
        <w:pStyle w:val="ListParagraph"/>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ListParagraph"/>
        <w:ind w:left="792"/>
        <w:jc w:val="both"/>
        <w:rPr>
          <w:rFonts w:cstheme="minorHAnsi"/>
          <w:color w:val="000000"/>
          <w:sz w:val="24"/>
          <w:szCs w:val="24"/>
          <w:lang w:val="en-US"/>
        </w:rPr>
      </w:pPr>
    </w:p>
    <w:p w14:paraId="79126479"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 parties, directly or indirectly, controls another party;</w:t>
      </w:r>
    </w:p>
    <w:p w14:paraId="4678A9F6"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ListParagraph"/>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ListParagraph"/>
        <w:spacing w:after="0" w:line="240" w:lineRule="auto"/>
        <w:ind w:left="794"/>
        <w:jc w:val="both"/>
        <w:rPr>
          <w:rFonts w:cstheme="minorHAnsi"/>
          <w:sz w:val="24"/>
          <w:szCs w:val="24"/>
          <w:lang w:val="en-US"/>
        </w:rPr>
      </w:pPr>
    </w:p>
    <w:p w14:paraId="355BE470"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ListParagraph"/>
        <w:spacing w:after="0" w:line="240" w:lineRule="auto"/>
        <w:ind w:left="794"/>
        <w:jc w:val="both"/>
        <w:rPr>
          <w:rFonts w:cstheme="minorHAnsi"/>
          <w:sz w:val="24"/>
          <w:szCs w:val="24"/>
          <w:lang w:val="en-US"/>
        </w:rPr>
      </w:pPr>
    </w:p>
    <w:p w14:paraId="33DB05AC"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ListParagraph"/>
        <w:spacing w:after="0" w:line="240" w:lineRule="auto"/>
        <w:ind w:left="794"/>
        <w:jc w:val="both"/>
        <w:rPr>
          <w:rFonts w:cstheme="minorHAnsi"/>
          <w:sz w:val="24"/>
          <w:szCs w:val="24"/>
          <w:lang w:val="en-US"/>
        </w:rPr>
      </w:pPr>
    </w:p>
    <w:p w14:paraId="57613C25"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ListParagraph"/>
        <w:spacing w:after="0" w:line="240" w:lineRule="auto"/>
        <w:ind w:left="794"/>
        <w:jc w:val="both"/>
        <w:rPr>
          <w:rFonts w:cstheme="minorHAnsi"/>
          <w:sz w:val="24"/>
          <w:szCs w:val="24"/>
          <w:lang w:val="en-US"/>
        </w:rPr>
      </w:pPr>
    </w:p>
    <w:p w14:paraId="54B8E535" w14:textId="77777777" w:rsidR="00A07F82" w:rsidRPr="00711517" w:rsidRDefault="00A63308" w:rsidP="00782AEF">
      <w:pPr>
        <w:pStyle w:val="ListParagraph"/>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ListParagraph"/>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ListParagraph"/>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ListParagraph"/>
        <w:spacing w:after="0" w:line="240" w:lineRule="auto"/>
        <w:ind w:left="360"/>
        <w:jc w:val="both"/>
        <w:rPr>
          <w:rFonts w:cstheme="minorHAnsi"/>
          <w:sz w:val="24"/>
          <w:szCs w:val="24"/>
          <w:lang w:val="en-US"/>
        </w:rPr>
      </w:pPr>
    </w:p>
    <w:p w14:paraId="2F22C60B"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ListParagraph"/>
        <w:spacing w:after="0" w:line="240" w:lineRule="auto"/>
        <w:ind w:left="792"/>
        <w:jc w:val="both"/>
        <w:rPr>
          <w:rFonts w:cstheme="minorHAnsi"/>
          <w:sz w:val="24"/>
          <w:szCs w:val="24"/>
          <w:lang w:val="en-US"/>
        </w:rPr>
      </w:pPr>
    </w:p>
    <w:p w14:paraId="7C3719E6"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ListParagraph"/>
        <w:ind w:left="792"/>
        <w:jc w:val="both"/>
        <w:rPr>
          <w:rFonts w:cstheme="minorHAnsi"/>
          <w:sz w:val="24"/>
          <w:szCs w:val="24"/>
          <w:lang w:val="en-US"/>
        </w:rPr>
      </w:pPr>
    </w:p>
    <w:p w14:paraId="5FCD229F"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ListParagraph"/>
        <w:spacing w:after="0" w:line="240" w:lineRule="auto"/>
        <w:ind w:left="792"/>
        <w:jc w:val="both"/>
        <w:rPr>
          <w:rFonts w:cstheme="minorHAnsi"/>
          <w:sz w:val="24"/>
          <w:szCs w:val="24"/>
          <w:lang w:val="en-US"/>
        </w:rPr>
      </w:pPr>
    </w:p>
    <w:p w14:paraId="75959F57"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ListParagraph"/>
        <w:ind w:left="792"/>
        <w:jc w:val="both"/>
        <w:rPr>
          <w:rFonts w:cstheme="minorHAnsi"/>
          <w:sz w:val="24"/>
          <w:szCs w:val="24"/>
          <w:lang w:val="en-US"/>
        </w:rPr>
      </w:pPr>
    </w:p>
    <w:p w14:paraId="3B2D0F03" w14:textId="77777777" w:rsidR="00A63308" w:rsidRPr="00711517" w:rsidRDefault="00045CFC" w:rsidP="00782AEF">
      <w:pPr>
        <w:pStyle w:val="ListParagraph"/>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ListParagraph"/>
        <w:spacing w:after="0" w:line="240" w:lineRule="auto"/>
        <w:ind w:left="792"/>
        <w:jc w:val="both"/>
        <w:rPr>
          <w:rFonts w:cstheme="minorHAnsi"/>
          <w:sz w:val="24"/>
          <w:szCs w:val="24"/>
          <w:lang w:val="en-US"/>
        </w:rPr>
      </w:pPr>
    </w:p>
    <w:p w14:paraId="53E07DB6"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normal course of business. The description must be presented in a narrative form and followed by a flowchart.</w:t>
      </w:r>
    </w:p>
    <w:p w14:paraId="66438189" w14:textId="77777777" w:rsidR="00A07F82" w:rsidRPr="00711517" w:rsidRDefault="00A07F82" w:rsidP="00A82854">
      <w:pPr>
        <w:pStyle w:val="ListParagraph"/>
        <w:spacing w:after="0" w:line="240" w:lineRule="auto"/>
        <w:ind w:left="792"/>
        <w:jc w:val="both"/>
        <w:rPr>
          <w:rFonts w:cstheme="minorHAnsi"/>
          <w:sz w:val="24"/>
          <w:szCs w:val="24"/>
          <w:lang w:val="en-US"/>
        </w:rPr>
      </w:pPr>
    </w:p>
    <w:p w14:paraId="46CD5D7B"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ListParagraph"/>
        <w:spacing w:after="0" w:line="240" w:lineRule="auto"/>
        <w:ind w:left="792"/>
        <w:jc w:val="both"/>
        <w:rPr>
          <w:rFonts w:cstheme="minorHAnsi"/>
          <w:sz w:val="24"/>
          <w:szCs w:val="24"/>
          <w:lang w:val="en-US"/>
        </w:rPr>
      </w:pPr>
    </w:p>
    <w:p w14:paraId="2FEA4C50"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ListParagraph"/>
        <w:spacing w:after="0" w:line="240" w:lineRule="auto"/>
        <w:ind w:left="792"/>
        <w:jc w:val="both"/>
        <w:rPr>
          <w:rFonts w:cstheme="minorHAnsi"/>
          <w:sz w:val="24"/>
          <w:szCs w:val="24"/>
          <w:lang w:val="en-US"/>
        </w:rPr>
      </w:pPr>
    </w:p>
    <w:p w14:paraId="6E6FCC15" w14:textId="77777777" w:rsidR="00A63308" w:rsidRPr="00711517" w:rsidRDefault="00A63308" w:rsidP="00782AEF">
      <w:pPr>
        <w:pStyle w:val="ListParagraph"/>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ListParagraph"/>
        <w:ind w:left="792"/>
        <w:jc w:val="both"/>
        <w:rPr>
          <w:rFonts w:cstheme="minorHAnsi"/>
          <w:sz w:val="24"/>
          <w:szCs w:val="24"/>
          <w:lang w:val="en-US"/>
        </w:rPr>
      </w:pPr>
    </w:p>
    <w:p w14:paraId="452E2544" w14:textId="77777777" w:rsidR="00A63308" w:rsidRPr="00711517" w:rsidRDefault="00A63308" w:rsidP="00782AEF">
      <w:pPr>
        <w:pStyle w:val="ListParagraph"/>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ListParagraph"/>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ListParagraph"/>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ListParagraph"/>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ListParagraph"/>
        <w:spacing w:after="0" w:line="240" w:lineRule="auto"/>
        <w:ind w:left="1728"/>
        <w:jc w:val="both"/>
        <w:rPr>
          <w:rFonts w:cstheme="minorHAnsi"/>
          <w:sz w:val="24"/>
          <w:szCs w:val="24"/>
          <w:lang w:val="en-US"/>
        </w:rPr>
      </w:pPr>
    </w:p>
    <w:p w14:paraId="58BB186D" w14:textId="77777777" w:rsidR="006B5504" w:rsidRPr="00711517" w:rsidRDefault="003D0023" w:rsidP="00782AEF">
      <w:pPr>
        <w:pStyle w:val="ListParagraph"/>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ListParagraph"/>
        <w:ind w:left="792"/>
        <w:jc w:val="both"/>
        <w:rPr>
          <w:rFonts w:cstheme="minorHAnsi"/>
          <w:sz w:val="24"/>
          <w:szCs w:val="24"/>
          <w:lang w:val="en-US"/>
        </w:rPr>
      </w:pPr>
    </w:p>
    <w:p w14:paraId="7C2A528C" w14:textId="441A3847" w:rsidR="006B5504" w:rsidRPr="00711517" w:rsidRDefault="004D515B" w:rsidP="00782AEF">
      <w:pPr>
        <w:pStyle w:val="ListParagraph"/>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38E0FD18" w:rsidR="003E5CA8" w:rsidRPr="00711517" w:rsidRDefault="003E5CA8" w:rsidP="003E5CA8">
      <w:pPr>
        <w:pStyle w:val="ListParagraph"/>
        <w:ind w:left="792"/>
        <w:jc w:val="both"/>
        <w:rPr>
          <w:rFonts w:cstheme="minorHAnsi"/>
          <w:sz w:val="24"/>
          <w:szCs w:val="24"/>
          <w:lang w:val="en-US"/>
        </w:rPr>
      </w:pPr>
    </w:p>
    <w:p w14:paraId="6B1D4C2E" w14:textId="77777777" w:rsidR="00A63308" w:rsidRPr="00711517" w:rsidRDefault="0049356D" w:rsidP="000D7CD5">
      <w:pPr>
        <w:pBdr>
          <w:top w:val="single" w:sz="4" w:space="1" w:color="auto"/>
          <w:left w:val="single" w:sz="4" w:space="4" w:color="auto"/>
          <w:bottom w:val="single" w:sz="4" w:space="1" w:color="auto"/>
          <w:right w:val="single" w:sz="4" w:space="4" w:color="auto"/>
        </w:pBd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0D7CD5">
      <w:pPr>
        <w:pBdr>
          <w:top w:val="single" w:sz="4" w:space="1" w:color="auto"/>
          <w:left w:val="single" w:sz="4" w:space="4" w:color="auto"/>
          <w:bottom w:val="single" w:sz="4" w:space="1" w:color="auto"/>
          <w:right w:val="single" w:sz="4" w:space="4" w:color="auto"/>
        </w:pBd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5037C7C0" w:rsidR="00A63308" w:rsidRPr="00711517" w:rsidRDefault="00F851FB" w:rsidP="000D7CD5">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5ECA7313" w:rsidR="00A63308" w:rsidRPr="00ED2DD2" w:rsidRDefault="00A63308" w:rsidP="00ED2DD2">
      <w:pPr>
        <w:pStyle w:val="ListParagraph"/>
        <w:numPr>
          <w:ilvl w:val="0"/>
          <w:numId w:val="4"/>
        </w:numPr>
        <w:jc w:val="both"/>
        <w:rPr>
          <w:rFonts w:cstheme="minorHAnsi"/>
          <w:b/>
          <w:sz w:val="24"/>
          <w:szCs w:val="24"/>
          <w:lang w:val="en-US"/>
        </w:rPr>
      </w:pPr>
      <w:r w:rsidRPr="00ED2DD2">
        <w:rPr>
          <w:rFonts w:cstheme="minorHAnsi"/>
          <w:b/>
          <w:sz w:val="24"/>
          <w:szCs w:val="24"/>
          <w:lang w:val="en-US"/>
        </w:rPr>
        <w:t xml:space="preserve">Product under </w:t>
      </w:r>
      <w:r w:rsidR="00422A8D" w:rsidRPr="00ED2DD2">
        <w:rPr>
          <w:rFonts w:cstheme="minorHAnsi"/>
          <w:b/>
          <w:sz w:val="24"/>
          <w:szCs w:val="24"/>
          <w:lang w:val="en-US"/>
        </w:rPr>
        <w:t>review</w:t>
      </w:r>
      <w:r w:rsidRPr="00ED2DD2">
        <w:rPr>
          <w:rFonts w:cstheme="minorHAnsi"/>
          <w:b/>
          <w:sz w:val="24"/>
          <w:szCs w:val="24"/>
          <w:lang w:val="en-US"/>
        </w:rPr>
        <w:t>:</w:t>
      </w:r>
    </w:p>
    <w:p w14:paraId="28CECAFB" w14:textId="3093502E" w:rsidR="004A096E" w:rsidRPr="00ED2DD2" w:rsidRDefault="00671844" w:rsidP="00303183">
      <w:pPr>
        <w:ind w:firstLine="708"/>
        <w:jc w:val="both"/>
        <w:rPr>
          <w:rFonts w:cstheme="minorHAnsi"/>
          <w:b/>
          <w:sz w:val="24"/>
          <w:szCs w:val="24"/>
          <w:lang w:val="en-US"/>
        </w:rPr>
      </w:pPr>
      <w:r w:rsidRPr="00ED2DD2">
        <w:rPr>
          <w:rFonts w:cstheme="minorHAnsi"/>
          <w:sz w:val="24"/>
          <w:szCs w:val="24"/>
          <w:lang w:val="en-US"/>
        </w:rPr>
        <w:t>Sodium Acid Pyrophosphate (SAPP), food</w:t>
      </w:r>
      <w:r w:rsidR="00187D60" w:rsidRPr="00ED2DD2">
        <w:rPr>
          <w:rFonts w:cstheme="minorHAnsi"/>
          <w:sz w:val="24"/>
          <w:szCs w:val="24"/>
          <w:lang w:val="en-US"/>
        </w:rPr>
        <w:t>-</w:t>
      </w:r>
      <w:r w:rsidRPr="00ED2DD2">
        <w:rPr>
          <w:rFonts w:cstheme="minorHAnsi"/>
          <w:sz w:val="24"/>
          <w:szCs w:val="24"/>
          <w:lang w:val="en-US"/>
        </w:rPr>
        <w:t>grade, usually classified under subitem(s) 2835.39.20</w:t>
      </w:r>
      <w:r w:rsidR="001157B4" w:rsidRPr="00ED2DD2">
        <w:rPr>
          <w:rFonts w:cstheme="minorHAnsi"/>
          <w:sz w:val="24"/>
          <w:szCs w:val="24"/>
          <w:lang w:val="en-US"/>
        </w:rPr>
        <w:t xml:space="preserve"> of the MERCOSUR Common Nomenclature (NCM – Nomenclatura Comum do MERCOSUL), exported from </w:t>
      </w:r>
      <w:r w:rsidRPr="00ED2DD2">
        <w:rPr>
          <w:rFonts w:cstheme="minorHAnsi"/>
          <w:sz w:val="24"/>
          <w:szCs w:val="24"/>
          <w:lang w:val="en-US"/>
        </w:rPr>
        <w:t>Canada, China and USA</w:t>
      </w:r>
      <w:r w:rsidR="00CE750F" w:rsidRPr="00ED2DD2">
        <w:rPr>
          <w:rFonts w:cstheme="minorHAnsi"/>
          <w:sz w:val="24"/>
          <w:szCs w:val="24"/>
          <w:lang w:val="en-US"/>
        </w:rPr>
        <w:t xml:space="preserve"> to Brazil</w:t>
      </w:r>
      <w:r w:rsidR="001157B4" w:rsidRPr="00ED2DD2">
        <w:rPr>
          <w:rFonts w:cstheme="minorHAnsi"/>
          <w:sz w:val="24"/>
          <w:szCs w:val="24"/>
          <w:lang w:val="en-US"/>
        </w:rPr>
        <w:t>.</w:t>
      </w:r>
    </w:p>
    <w:p w14:paraId="618686A6" w14:textId="6A7F9714" w:rsidR="004A096E" w:rsidRPr="00855609" w:rsidRDefault="00BD739D" w:rsidP="0076296B">
      <w:pPr>
        <w:ind w:firstLine="708"/>
        <w:jc w:val="both"/>
        <w:rPr>
          <w:rFonts w:cstheme="minorHAnsi"/>
          <w:bCs/>
          <w:sz w:val="24"/>
          <w:szCs w:val="24"/>
          <w:lang w:val="en-US"/>
        </w:rPr>
      </w:pPr>
      <w:r w:rsidRPr="00855609">
        <w:rPr>
          <w:rFonts w:cstheme="minorHAnsi"/>
          <w:bCs/>
          <w:sz w:val="24"/>
          <w:szCs w:val="24"/>
          <w:lang w:val="en-US"/>
        </w:rPr>
        <w:t>Sodium acid pyrophosphate is also marketed under the names SAPP, Disodium Pyrophosphate, Disodium Dihydrogen Pyrophosphate and Disodium Dihydrogen Diphosphate, whose chemical formula is represented by Na2H2P2O7. It should be noted that the product under review only covers pyrophosphates with two sodium atoms, excluding pyrophosphates with three or four sodium atoms.</w:t>
      </w:r>
    </w:p>
    <w:p w14:paraId="73B17E61" w14:textId="6C5409FF" w:rsidR="004A096E" w:rsidRPr="00855609" w:rsidRDefault="004A096E" w:rsidP="00855609">
      <w:pPr>
        <w:ind w:firstLine="708"/>
        <w:jc w:val="both"/>
        <w:rPr>
          <w:rFonts w:cstheme="minorHAnsi"/>
          <w:bCs/>
          <w:sz w:val="24"/>
          <w:szCs w:val="24"/>
          <w:lang w:val="en-US"/>
        </w:rPr>
      </w:pPr>
      <w:r w:rsidRPr="00855609">
        <w:rPr>
          <w:rFonts w:cstheme="minorHAnsi"/>
          <w:bCs/>
          <w:sz w:val="24"/>
          <w:szCs w:val="24"/>
          <w:lang w:val="en-US"/>
        </w:rPr>
        <w:t xml:space="preserve">SAPP </w:t>
      </w:r>
      <w:r w:rsidR="0083443B" w:rsidRPr="00855609">
        <w:rPr>
          <w:rFonts w:cstheme="minorHAnsi"/>
          <w:bCs/>
          <w:sz w:val="24"/>
          <w:szCs w:val="24"/>
          <w:lang w:val="en-US"/>
        </w:rPr>
        <w:t>is a water-soluble salt, in the form of a fine, white powder, free of foreign particles, with a molecular mass of 221.94 and a pH of approximately 4.0 in a 1% solution</w:t>
      </w:r>
      <w:r w:rsidRPr="00855609">
        <w:rPr>
          <w:rFonts w:cstheme="minorHAnsi"/>
          <w:bCs/>
          <w:sz w:val="24"/>
          <w:szCs w:val="24"/>
          <w:lang w:val="en-US"/>
        </w:rPr>
        <w:t xml:space="preserve">. </w:t>
      </w:r>
    </w:p>
    <w:p w14:paraId="7B4A3F8E" w14:textId="7C7324A4" w:rsidR="004A096E" w:rsidRPr="00855609" w:rsidRDefault="00BB2BD6" w:rsidP="004A096E">
      <w:pPr>
        <w:ind w:firstLine="708"/>
        <w:jc w:val="both"/>
        <w:rPr>
          <w:rFonts w:cstheme="minorHAnsi"/>
          <w:bCs/>
          <w:sz w:val="24"/>
          <w:szCs w:val="24"/>
          <w:lang w:val="en-US"/>
        </w:rPr>
      </w:pPr>
      <w:r w:rsidRPr="00855609">
        <w:rPr>
          <w:rFonts w:cstheme="minorHAnsi"/>
          <w:bCs/>
          <w:sz w:val="24"/>
          <w:szCs w:val="24"/>
          <w:lang w:val="en-US"/>
        </w:rPr>
        <w:t xml:space="preserve">Sodium acid pyrophosphate is classified in the Chemical Abstract Service – CAS under no. 7758-16-9 and in the International Numbering System – INS under no. 450i. Its registration number with the </w:t>
      </w:r>
      <w:r w:rsidR="0084255B">
        <w:rPr>
          <w:rFonts w:cstheme="minorHAnsi"/>
          <w:bCs/>
          <w:sz w:val="24"/>
          <w:szCs w:val="24"/>
          <w:lang w:val="en-US"/>
        </w:rPr>
        <w:t xml:space="preserve">Brazilian </w:t>
      </w:r>
      <w:r w:rsidRPr="00855609">
        <w:rPr>
          <w:rFonts w:cstheme="minorHAnsi"/>
          <w:bCs/>
          <w:sz w:val="24"/>
          <w:szCs w:val="24"/>
          <w:lang w:val="en-US"/>
        </w:rPr>
        <w:t>Ministry of Health is 6.2198.0035 and its food grade is established by the Food Chemical Codex – FCC, which establishes the following /maximum limits</w:t>
      </w:r>
      <w:r w:rsidR="004A096E" w:rsidRPr="00855609">
        <w:rPr>
          <w:rFonts w:cstheme="minorHAnsi"/>
          <w:bCs/>
          <w:sz w:val="24"/>
          <w:szCs w:val="24"/>
          <w:lang w:val="en-US"/>
        </w:rPr>
        <w:t>:</w:t>
      </w:r>
    </w:p>
    <w:p w14:paraId="582A48C3" w14:textId="77777777" w:rsidR="00CC38B7" w:rsidRPr="00855609" w:rsidRDefault="00CC38B7" w:rsidP="00CC38B7">
      <w:pPr>
        <w:jc w:val="both"/>
        <w:rPr>
          <w:rFonts w:cstheme="minorHAnsi"/>
          <w:bCs/>
          <w:sz w:val="24"/>
          <w:szCs w:val="24"/>
          <w:lang w:val="en-US"/>
        </w:rPr>
      </w:pPr>
      <w:r w:rsidRPr="00855609">
        <w:rPr>
          <w:rFonts w:cstheme="minorHAnsi"/>
          <w:bCs/>
          <w:sz w:val="24"/>
          <w:szCs w:val="24"/>
          <w:lang w:val="en-US"/>
        </w:rPr>
        <w:t>- Content: 93.0% – 100.5%;</w:t>
      </w:r>
    </w:p>
    <w:p w14:paraId="69364385" w14:textId="77777777" w:rsidR="00CC38B7" w:rsidRPr="00855609" w:rsidRDefault="00CC38B7" w:rsidP="00CC38B7">
      <w:pPr>
        <w:jc w:val="both"/>
        <w:rPr>
          <w:rFonts w:cstheme="minorHAnsi"/>
          <w:bCs/>
          <w:sz w:val="24"/>
          <w:szCs w:val="24"/>
          <w:lang w:val="en-US"/>
        </w:rPr>
      </w:pPr>
      <w:r w:rsidRPr="00855609">
        <w:rPr>
          <w:rFonts w:cstheme="minorHAnsi"/>
          <w:bCs/>
          <w:sz w:val="24"/>
          <w:szCs w:val="24"/>
          <w:lang w:val="en-US"/>
        </w:rPr>
        <w:t>- Arsenic: 3 mg/kg max. (or 3 ppm max.);</w:t>
      </w:r>
    </w:p>
    <w:p w14:paraId="61C9279F" w14:textId="77777777" w:rsidR="00CC38B7" w:rsidRPr="00855609" w:rsidRDefault="00CC38B7" w:rsidP="00CC38B7">
      <w:pPr>
        <w:jc w:val="both"/>
        <w:rPr>
          <w:rFonts w:cstheme="minorHAnsi"/>
          <w:bCs/>
          <w:sz w:val="24"/>
          <w:szCs w:val="24"/>
          <w:lang w:val="en-US"/>
        </w:rPr>
      </w:pPr>
      <w:r w:rsidRPr="00855609">
        <w:rPr>
          <w:rFonts w:cstheme="minorHAnsi"/>
          <w:bCs/>
          <w:sz w:val="24"/>
          <w:szCs w:val="24"/>
          <w:lang w:val="en-US"/>
        </w:rPr>
        <w:t>- Fluorides: 0.005% max. (or 50 ppm max.);</w:t>
      </w:r>
    </w:p>
    <w:p w14:paraId="7D01E496" w14:textId="77777777" w:rsidR="00CC38B7" w:rsidRPr="00855609" w:rsidRDefault="00CC38B7" w:rsidP="00CC38B7">
      <w:pPr>
        <w:jc w:val="both"/>
        <w:rPr>
          <w:rFonts w:cstheme="minorHAnsi"/>
          <w:bCs/>
          <w:sz w:val="24"/>
          <w:szCs w:val="24"/>
          <w:lang w:val="en-US"/>
        </w:rPr>
      </w:pPr>
      <w:r w:rsidRPr="00855609">
        <w:rPr>
          <w:rFonts w:cstheme="minorHAnsi"/>
          <w:bCs/>
          <w:sz w:val="24"/>
          <w:szCs w:val="24"/>
          <w:lang w:val="en-US"/>
        </w:rPr>
        <w:t>- Lead: 2 mg/kg max. (or 2 ppm max.);</w:t>
      </w:r>
    </w:p>
    <w:p w14:paraId="46E54D97" w14:textId="4CAB48ED" w:rsidR="004A096E" w:rsidRPr="00855609" w:rsidRDefault="00CC38B7" w:rsidP="00CC38B7">
      <w:pPr>
        <w:jc w:val="both"/>
        <w:rPr>
          <w:rFonts w:cstheme="minorHAnsi"/>
          <w:bCs/>
          <w:sz w:val="24"/>
          <w:szCs w:val="24"/>
          <w:lang w:val="en-US"/>
        </w:rPr>
      </w:pPr>
      <w:r w:rsidRPr="00855609">
        <w:rPr>
          <w:rFonts w:cstheme="minorHAnsi"/>
          <w:bCs/>
          <w:sz w:val="24"/>
          <w:szCs w:val="24"/>
          <w:lang w:val="en-US"/>
        </w:rPr>
        <w:t>- Insoluble substances: 1.0% max.</w:t>
      </w:r>
    </w:p>
    <w:p w14:paraId="5AC824D8" w14:textId="0D893ED7" w:rsidR="0052093C" w:rsidRPr="00855609" w:rsidRDefault="0052093C" w:rsidP="00855609">
      <w:pPr>
        <w:ind w:firstLine="708"/>
        <w:jc w:val="both"/>
        <w:rPr>
          <w:rFonts w:cstheme="minorHAnsi"/>
          <w:bCs/>
          <w:sz w:val="24"/>
          <w:szCs w:val="24"/>
          <w:lang w:val="en-US"/>
        </w:rPr>
      </w:pPr>
      <w:r w:rsidRPr="00855609">
        <w:rPr>
          <w:rFonts w:cstheme="minorHAnsi"/>
          <w:bCs/>
          <w:sz w:val="24"/>
          <w:szCs w:val="24"/>
          <w:lang w:val="en-US"/>
        </w:rPr>
        <w:t xml:space="preserve">SAPP is used as a chemical </w:t>
      </w:r>
      <w:r>
        <w:rPr>
          <w:rFonts w:cstheme="minorHAnsi"/>
          <w:bCs/>
          <w:sz w:val="24"/>
          <w:szCs w:val="24"/>
          <w:lang w:val="en-US"/>
        </w:rPr>
        <w:t>yeast</w:t>
      </w:r>
      <w:r w:rsidRPr="00855609">
        <w:rPr>
          <w:rFonts w:cstheme="minorHAnsi"/>
          <w:bCs/>
          <w:sz w:val="24"/>
          <w:szCs w:val="24"/>
          <w:lang w:val="en-US"/>
        </w:rPr>
        <w:t>, stabilizer, acidity regulator, emulsifier and/or sequestrant in various products in the food industry.</w:t>
      </w:r>
    </w:p>
    <w:p w14:paraId="79D2886A" w14:textId="0A67056B" w:rsidR="004A096E" w:rsidRDefault="0052093C" w:rsidP="0052093C">
      <w:pPr>
        <w:ind w:firstLine="708"/>
        <w:jc w:val="both"/>
        <w:rPr>
          <w:rFonts w:cstheme="minorHAnsi"/>
          <w:bCs/>
          <w:sz w:val="24"/>
          <w:szCs w:val="24"/>
          <w:lang w:val="en-US"/>
        </w:rPr>
      </w:pPr>
      <w:r w:rsidRPr="00855609">
        <w:rPr>
          <w:rFonts w:cstheme="minorHAnsi"/>
          <w:bCs/>
          <w:sz w:val="24"/>
          <w:szCs w:val="24"/>
          <w:lang w:val="en-US"/>
        </w:rPr>
        <w:t xml:space="preserve">In the bakery and confectionery segment, it acts as a chemical </w:t>
      </w:r>
      <w:r w:rsidR="00E62D3D">
        <w:rPr>
          <w:rFonts w:cstheme="minorHAnsi"/>
          <w:bCs/>
          <w:sz w:val="24"/>
          <w:szCs w:val="24"/>
          <w:lang w:val="en-US"/>
        </w:rPr>
        <w:t>yeast</w:t>
      </w:r>
      <w:r w:rsidRPr="00855609">
        <w:rPr>
          <w:rFonts w:cstheme="minorHAnsi"/>
          <w:bCs/>
          <w:sz w:val="24"/>
          <w:szCs w:val="24"/>
          <w:lang w:val="en-US"/>
        </w:rPr>
        <w:t>. SAPP reacts with sodium bicarbonate, controlling the release rate of carbon dioxide (CO</w:t>
      </w:r>
      <w:r w:rsidRPr="00855609">
        <w:rPr>
          <w:rFonts w:cstheme="minorHAnsi"/>
          <w:bCs/>
          <w:sz w:val="24"/>
          <w:szCs w:val="24"/>
          <w:vertAlign w:val="subscript"/>
          <w:lang w:val="en-US"/>
        </w:rPr>
        <w:t>2</w:t>
      </w:r>
      <w:r w:rsidRPr="00855609">
        <w:rPr>
          <w:rFonts w:cstheme="minorHAnsi"/>
          <w:bCs/>
          <w:sz w:val="24"/>
          <w:szCs w:val="24"/>
          <w:lang w:val="en-US"/>
        </w:rPr>
        <w:t>) formed in the reaction, which expand</w:t>
      </w:r>
      <w:r w:rsidR="00D34914">
        <w:rPr>
          <w:rFonts w:cstheme="minorHAnsi"/>
          <w:bCs/>
          <w:sz w:val="24"/>
          <w:szCs w:val="24"/>
          <w:lang w:val="en-US"/>
        </w:rPr>
        <w:t>s</w:t>
      </w:r>
      <w:r w:rsidRPr="00855609">
        <w:rPr>
          <w:rFonts w:cstheme="minorHAnsi"/>
          <w:bCs/>
          <w:sz w:val="24"/>
          <w:szCs w:val="24"/>
          <w:lang w:val="en-US"/>
        </w:rPr>
        <w:t xml:space="preserve"> the dough of breads, cakes and cookies. In this application, it can be used in chemical </w:t>
      </w:r>
      <w:r w:rsidR="00D34914">
        <w:rPr>
          <w:rFonts w:cstheme="minorHAnsi"/>
          <w:bCs/>
          <w:sz w:val="24"/>
          <w:szCs w:val="24"/>
          <w:lang w:val="en-US"/>
        </w:rPr>
        <w:t>yeast</w:t>
      </w:r>
      <w:r w:rsidRPr="00855609">
        <w:rPr>
          <w:rFonts w:cstheme="minorHAnsi"/>
          <w:bCs/>
          <w:sz w:val="24"/>
          <w:szCs w:val="24"/>
          <w:lang w:val="en-US"/>
        </w:rPr>
        <w:t xml:space="preserve"> (domestic and industrial), flours with yeast, cake mixes, cakes and cookies.</w:t>
      </w:r>
    </w:p>
    <w:p w14:paraId="4A9F1D06" w14:textId="0B9790DB" w:rsidR="004A096E" w:rsidRPr="00855609" w:rsidRDefault="002300A2" w:rsidP="00A97530">
      <w:pPr>
        <w:ind w:firstLine="708"/>
        <w:jc w:val="both"/>
        <w:rPr>
          <w:rFonts w:cstheme="minorHAnsi"/>
          <w:bCs/>
          <w:sz w:val="24"/>
          <w:szCs w:val="24"/>
          <w:lang w:val="en-US"/>
        </w:rPr>
      </w:pPr>
      <w:r w:rsidRPr="002300A2">
        <w:rPr>
          <w:rFonts w:cstheme="minorHAnsi"/>
          <w:bCs/>
          <w:sz w:val="24"/>
          <w:szCs w:val="24"/>
          <w:lang w:val="en-US"/>
        </w:rPr>
        <w:t>In meat products, SAPP</w:t>
      </w:r>
      <w:r w:rsidR="006B6A31">
        <w:rPr>
          <w:rFonts w:cstheme="minorHAnsi"/>
          <w:bCs/>
          <w:sz w:val="24"/>
          <w:szCs w:val="24"/>
          <w:lang w:val="en-US"/>
        </w:rPr>
        <w:t xml:space="preserve"> lowers </w:t>
      </w:r>
      <w:r w:rsidRPr="002300A2">
        <w:rPr>
          <w:rFonts w:cstheme="minorHAnsi"/>
          <w:bCs/>
          <w:sz w:val="24"/>
          <w:szCs w:val="24"/>
          <w:lang w:val="en-US"/>
        </w:rPr>
        <w:t xml:space="preserve">the pH of the product during processing, </w:t>
      </w:r>
      <w:r w:rsidR="009F7569">
        <w:rPr>
          <w:rFonts w:cstheme="minorHAnsi"/>
          <w:bCs/>
          <w:sz w:val="24"/>
          <w:szCs w:val="24"/>
          <w:lang w:val="en-US"/>
        </w:rPr>
        <w:t>increasing</w:t>
      </w:r>
      <w:r w:rsidRPr="002300A2">
        <w:rPr>
          <w:rFonts w:cstheme="minorHAnsi"/>
          <w:bCs/>
          <w:sz w:val="24"/>
          <w:szCs w:val="24"/>
          <w:lang w:val="en-US"/>
        </w:rPr>
        <w:t xml:space="preserve"> the curing speed of the sausage and acting as a stabilizer</w:t>
      </w:r>
      <w:r w:rsidR="00CF4201">
        <w:rPr>
          <w:rFonts w:cstheme="minorHAnsi"/>
          <w:bCs/>
          <w:sz w:val="24"/>
          <w:szCs w:val="24"/>
          <w:lang w:val="en-US"/>
        </w:rPr>
        <w:t xml:space="preserve"> – </w:t>
      </w:r>
      <w:r w:rsidRPr="002300A2">
        <w:rPr>
          <w:rFonts w:cstheme="minorHAnsi"/>
          <w:bCs/>
          <w:sz w:val="24"/>
          <w:szCs w:val="24"/>
          <w:lang w:val="en-US"/>
        </w:rPr>
        <w:t>the sausage develops the pink color of a cured product more quickly, speeding up the production process. In these cases, SAPP is used in processed meat products, such as sausages, mortadella, salami, and other sausages, smoked and frozen beef, chicken, fish and seafood.</w:t>
      </w:r>
    </w:p>
    <w:p w14:paraId="2A030C16" w14:textId="7BDFB1B5" w:rsidR="004A096E" w:rsidRPr="00855609" w:rsidRDefault="00A97530" w:rsidP="00333099">
      <w:pPr>
        <w:ind w:firstLine="708"/>
        <w:jc w:val="both"/>
        <w:rPr>
          <w:rFonts w:cstheme="minorHAnsi"/>
          <w:bCs/>
          <w:sz w:val="24"/>
          <w:szCs w:val="24"/>
          <w:lang w:val="en-US"/>
        </w:rPr>
      </w:pPr>
      <w:r w:rsidRPr="00855609">
        <w:rPr>
          <w:rFonts w:cstheme="minorHAnsi"/>
          <w:bCs/>
          <w:sz w:val="24"/>
          <w:szCs w:val="24"/>
          <w:lang w:val="en-US"/>
        </w:rPr>
        <w:t xml:space="preserve">In dairy products such as UHT milk, processed cheeses and </w:t>
      </w:r>
      <w:r>
        <w:rPr>
          <w:rFonts w:cstheme="minorHAnsi"/>
          <w:bCs/>
          <w:sz w:val="24"/>
          <w:szCs w:val="24"/>
          <w:lang w:val="en-US"/>
        </w:rPr>
        <w:t>cream</w:t>
      </w:r>
      <w:r w:rsidRPr="00855609">
        <w:rPr>
          <w:rFonts w:cstheme="minorHAnsi"/>
          <w:bCs/>
          <w:sz w:val="24"/>
          <w:szCs w:val="24"/>
          <w:lang w:val="en-US"/>
        </w:rPr>
        <w:t xml:space="preserve"> cheese, SAPP acts as a stabilizer and emulsifier. In the production of processed potatoes, such as frozen sliced </w:t>
      </w:r>
      <w:r w:rsidR="00D26C50">
        <w:rPr>
          <w:rFonts w:cstheme="minorHAnsi"/>
          <w:bCs/>
          <w:sz w:val="24"/>
          <w:szCs w:val="24"/>
          <w:lang w:val="en-US"/>
        </w:rPr>
        <w:t>p</w:t>
      </w:r>
      <w:r w:rsidRPr="00855609">
        <w:rPr>
          <w:rFonts w:cstheme="minorHAnsi"/>
          <w:bCs/>
          <w:sz w:val="24"/>
          <w:szCs w:val="24"/>
          <w:lang w:val="en-US"/>
        </w:rPr>
        <w:t>otatoes, SAPP acts as a stabilizer. In addition, it can be used in a variety of other food products, such as soups and broths, cereals, oils and fats, snacks and culinary preparations.</w:t>
      </w:r>
    </w:p>
    <w:p w14:paraId="51F37F0F" w14:textId="05253DB1" w:rsidR="004A096E" w:rsidRPr="00855609" w:rsidRDefault="00632E23" w:rsidP="004A096E">
      <w:pPr>
        <w:ind w:firstLine="708"/>
        <w:jc w:val="both"/>
        <w:rPr>
          <w:rFonts w:cstheme="minorHAnsi"/>
          <w:bCs/>
          <w:sz w:val="24"/>
          <w:szCs w:val="24"/>
          <w:lang w:val="en-US"/>
        </w:rPr>
      </w:pPr>
      <w:r w:rsidRPr="00855609">
        <w:rPr>
          <w:rFonts w:cstheme="minorHAnsi"/>
          <w:bCs/>
          <w:sz w:val="24"/>
          <w:szCs w:val="24"/>
          <w:lang w:val="en-US"/>
        </w:rPr>
        <w:t>SAPP is also used in water treatment, with the function of sequestering undesirable ions (Ca, Fe, Mg and Mn), as well as as a palatability enhancer in the production of animal feed.</w:t>
      </w:r>
    </w:p>
    <w:p w14:paraId="055E3ED7" w14:textId="77777777" w:rsidR="004A096E" w:rsidRPr="00855609" w:rsidRDefault="004A096E" w:rsidP="004A096E">
      <w:pPr>
        <w:jc w:val="both"/>
        <w:rPr>
          <w:rFonts w:cstheme="minorHAnsi"/>
          <w:bCs/>
          <w:sz w:val="24"/>
          <w:szCs w:val="24"/>
          <w:lang w:val="en-US"/>
        </w:rPr>
      </w:pPr>
    </w:p>
    <w:p w14:paraId="0B9D7029" w14:textId="3AAF875F" w:rsidR="004A096E" w:rsidRPr="00855609" w:rsidRDefault="00904E4A" w:rsidP="004A096E">
      <w:pPr>
        <w:pStyle w:val="BodyTextIndent"/>
        <w:ind w:left="0" w:firstLine="708"/>
        <w:rPr>
          <w:rFonts w:asciiTheme="minorHAnsi" w:hAnsiTheme="minorHAnsi" w:cstheme="minorHAnsi"/>
          <w:bCs/>
          <w:sz w:val="24"/>
          <w:szCs w:val="24"/>
          <w:lang w:val="en-US"/>
        </w:rPr>
      </w:pPr>
      <w:r w:rsidRPr="00855609">
        <w:rPr>
          <w:rFonts w:asciiTheme="minorHAnsi" w:hAnsiTheme="minorHAnsi" w:cstheme="minorHAnsi"/>
          <w:bCs/>
          <w:sz w:val="24"/>
          <w:szCs w:val="24"/>
          <w:lang w:val="en-US"/>
        </w:rPr>
        <w:t xml:space="preserve">Note that </w:t>
      </w:r>
      <w:r w:rsidR="0033099C">
        <w:rPr>
          <w:rFonts w:asciiTheme="minorHAnsi" w:hAnsiTheme="minorHAnsi" w:cstheme="minorHAnsi"/>
          <w:bCs/>
          <w:sz w:val="24"/>
          <w:szCs w:val="24"/>
          <w:lang w:val="en-US"/>
        </w:rPr>
        <w:t xml:space="preserve">under </w:t>
      </w:r>
      <w:r w:rsidRPr="00855609">
        <w:rPr>
          <w:rFonts w:asciiTheme="minorHAnsi" w:hAnsiTheme="minorHAnsi" w:cstheme="minorHAnsi"/>
          <w:bCs/>
          <w:sz w:val="24"/>
          <w:szCs w:val="24"/>
          <w:lang w:val="en-US"/>
        </w:rPr>
        <w:t xml:space="preserve">subitem 2835.39.20 of the NCM </w:t>
      </w:r>
      <w:r w:rsidR="0033099C">
        <w:rPr>
          <w:rFonts w:asciiTheme="minorHAnsi" w:hAnsiTheme="minorHAnsi" w:cstheme="minorHAnsi"/>
          <w:bCs/>
          <w:sz w:val="24"/>
          <w:szCs w:val="24"/>
          <w:lang w:val="en-US"/>
        </w:rPr>
        <w:t>are classified</w:t>
      </w:r>
      <w:r w:rsidRPr="00855609">
        <w:rPr>
          <w:rFonts w:asciiTheme="minorHAnsi" w:hAnsiTheme="minorHAnsi" w:cstheme="minorHAnsi"/>
          <w:bCs/>
          <w:sz w:val="24"/>
          <w:szCs w:val="24"/>
          <w:lang w:val="en-US"/>
        </w:rPr>
        <w:t xml:space="preserve"> several types of pyrophosphates in addition to food-grade disodium acid pyrophosphate, which is the subject of the review. Therefore, the following </w:t>
      </w:r>
      <w:r w:rsidRPr="00855609">
        <w:rPr>
          <w:rFonts w:asciiTheme="minorHAnsi" w:hAnsiTheme="minorHAnsi" w:cstheme="minorHAnsi"/>
          <w:b/>
          <w:sz w:val="24"/>
          <w:szCs w:val="24"/>
          <w:u w:val="single"/>
          <w:lang w:val="en-US"/>
        </w:rPr>
        <w:t>are excluded from the scope of the review</w:t>
      </w:r>
      <w:r w:rsidRPr="00855609">
        <w:rPr>
          <w:rFonts w:asciiTheme="minorHAnsi" w:hAnsiTheme="minorHAnsi" w:cstheme="minorHAnsi"/>
          <w:bCs/>
          <w:sz w:val="24"/>
          <w:szCs w:val="24"/>
          <w:lang w:val="en-US"/>
        </w:rPr>
        <w:t>:</w:t>
      </w:r>
    </w:p>
    <w:p w14:paraId="31E49542" w14:textId="77777777" w:rsidR="004A096E" w:rsidRPr="00855609" w:rsidRDefault="004A096E" w:rsidP="004A096E">
      <w:pPr>
        <w:pStyle w:val="BodyTextIndent"/>
        <w:ind w:left="0" w:firstLine="708"/>
        <w:rPr>
          <w:rFonts w:asciiTheme="minorHAnsi" w:hAnsiTheme="minorHAnsi" w:cstheme="minorHAnsi"/>
          <w:bCs/>
          <w:sz w:val="24"/>
          <w:szCs w:val="24"/>
          <w:lang w:val="en-US"/>
        </w:rPr>
      </w:pPr>
    </w:p>
    <w:p w14:paraId="030A0C24" w14:textId="77777777" w:rsidR="00220D9D" w:rsidRDefault="00220D9D" w:rsidP="004A096E">
      <w:pPr>
        <w:pStyle w:val="BodyTextIndent"/>
        <w:ind w:left="0" w:firstLine="0"/>
        <w:rPr>
          <w:rFonts w:asciiTheme="minorHAnsi" w:hAnsiTheme="minorHAnsi" w:cstheme="minorHAnsi"/>
          <w:bCs/>
          <w:sz w:val="24"/>
          <w:szCs w:val="24"/>
          <w:lang w:val="en-US"/>
        </w:rPr>
      </w:pPr>
      <w:r w:rsidRPr="00855609">
        <w:rPr>
          <w:rFonts w:asciiTheme="minorHAnsi" w:hAnsiTheme="minorHAnsi" w:cstheme="minorHAnsi"/>
          <w:bCs/>
          <w:sz w:val="24"/>
          <w:szCs w:val="24"/>
          <w:lang w:val="en-US"/>
        </w:rPr>
        <w:t>- Pyrophosphates with three or four sodium atoms, namely trisodium, with chemical formula Na3HP2O7, also commonly known as trisodium diphosphate, trisodium acid pyrophosphate and trisodium monohydrogen diphosphate, with application in palatability enhancers for the animal feed industry;</w:t>
      </w:r>
    </w:p>
    <w:p w14:paraId="418B116D" w14:textId="77777777" w:rsidR="00AA0E00" w:rsidRPr="00855609" w:rsidRDefault="00AA0E00" w:rsidP="004A096E">
      <w:pPr>
        <w:pStyle w:val="BodyTextIndent"/>
        <w:ind w:left="0" w:firstLine="0"/>
        <w:rPr>
          <w:rFonts w:asciiTheme="minorHAnsi" w:hAnsiTheme="minorHAnsi" w:cstheme="minorHAnsi"/>
          <w:bCs/>
          <w:sz w:val="24"/>
          <w:szCs w:val="24"/>
          <w:lang w:val="en-US"/>
        </w:rPr>
      </w:pPr>
    </w:p>
    <w:p w14:paraId="663690B9" w14:textId="6C924EDC" w:rsidR="004A096E" w:rsidRPr="00855609" w:rsidRDefault="00910DDB" w:rsidP="004A096E">
      <w:pPr>
        <w:pStyle w:val="BodyTextIndent"/>
        <w:ind w:left="0" w:firstLine="0"/>
        <w:rPr>
          <w:rFonts w:asciiTheme="minorHAnsi" w:hAnsiTheme="minorHAnsi" w:cstheme="minorHAnsi"/>
          <w:bCs/>
          <w:sz w:val="24"/>
          <w:szCs w:val="24"/>
          <w:lang w:val="en-US"/>
        </w:rPr>
      </w:pPr>
      <w:r w:rsidRPr="00855609">
        <w:rPr>
          <w:rFonts w:asciiTheme="minorHAnsi" w:hAnsiTheme="minorHAnsi" w:cstheme="minorHAnsi"/>
          <w:bCs/>
          <w:sz w:val="24"/>
          <w:szCs w:val="24"/>
          <w:lang w:val="en-US"/>
        </w:rPr>
        <w:t xml:space="preserve">- Tetrasodium pyrophosphates, with chemical formula Na4P2O7, also commonly known as sodium pyrophosphate and tetrasodium diphosphate, used in </w:t>
      </w:r>
      <w:r w:rsidR="00607019">
        <w:rPr>
          <w:rFonts w:asciiTheme="minorHAnsi" w:hAnsiTheme="minorHAnsi" w:cstheme="minorHAnsi"/>
          <w:bCs/>
          <w:sz w:val="24"/>
          <w:szCs w:val="24"/>
          <w:lang w:val="en-US"/>
        </w:rPr>
        <w:t>dentrifices</w:t>
      </w:r>
      <w:r w:rsidRPr="00855609">
        <w:rPr>
          <w:rFonts w:asciiTheme="minorHAnsi" w:hAnsiTheme="minorHAnsi" w:cstheme="minorHAnsi"/>
          <w:bCs/>
          <w:sz w:val="24"/>
          <w:szCs w:val="24"/>
          <w:lang w:val="en-US"/>
        </w:rPr>
        <w:t>, paints, and formulators for the meat industry; and</w:t>
      </w:r>
    </w:p>
    <w:p w14:paraId="5F8DE695" w14:textId="77777777" w:rsidR="00910DDB" w:rsidRPr="00855609" w:rsidRDefault="00910DDB" w:rsidP="004A096E">
      <w:pPr>
        <w:pStyle w:val="BodyTextIndent"/>
        <w:ind w:left="0" w:firstLine="0"/>
        <w:rPr>
          <w:rFonts w:asciiTheme="minorHAnsi" w:hAnsiTheme="minorHAnsi" w:cstheme="minorHAnsi"/>
          <w:bCs/>
          <w:sz w:val="24"/>
          <w:szCs w:val="24"/>
          <w:lang w:val="en-US"/>
        </w:rPr>
      </w:pPr>
    </w:p>
    <w:p w14:paraId="3412F449" w14:textId="68C640D2" w:rsidR="001157B4" w:rsidRPr="00855609" w:rsidRDefault="007C74EA" w:rsidP="00855609">
      <w:pPr>
        <w:rPr>
          <w:color w:val="FF0000"/>
          <w:lang w:val="en-US"/>
        </w:rPr>
      </w:pPr>
      <w:r w:rsidRPr="00855609">
        <w:rPr>
          <w:rFonts w:cstheme="minorHAnsi"/>
          <w:bCs/>
          <w:sz w:val="24"/>
          <w:szCs w:val="24"/>
          <w:lang w:val="en-US"/>
        </w:rPr>
        <w:t>- Sodium pyrophosphate decahydrate, sodium hexametaphosphate, dibasic phosphates and neutral sodium pyrophosphates.</w:t>
      </w:r>
      <w:r w:rsidRPr="00855609" w:rsidDel="004A096E">
        <w:rPr>
          <w:rFonts w:cstheme="minorHAnsi"/>
          <w:bCs/>
          <w:sz w:val="24"/>
          <w:szCs w:val="24"/>
          <w:lang w:val="en-US"/>
        </w:rPr>
        <w:t xml:space="preserve"> </w:t>
      </w:r>
    </w:p>
    <w:p w14:paraId="5632751A" w14:textId="77777777" w:rsidR="001157B4" w:rsidRPr="00711517" w:rsidRDefault="001157B4" w:rsidP="001157B4">
      <w:pPr>
        <w:pStyle w:val="ListParagraph"/>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ListParagraph"/>
        <w:ind w:left="1440"/>
        <w:jc w:val="both"/>
        <w:rPr>
          <w:rFonts w:cstheme="minorHAnsi"/>
          <w:sz w:val="24"/>
          <w:szCs w:val="24"/>
          <w:lang w:val="en-US"/>
        </w:rPr>
      </w:pPr>
    </w:p>
    <w:p w14:paraId="264C5945" w14:textId="1DA093F8" w:rsidR="001157B4" w:rsidRPr="007C74EA" w:rsidRDefault="007C74EA" w:rsidP="001157B4">
      <w:pPr>
        <w:pStyle w:val="ListParagraph"/>
        <w:ind w:left="1440"/>
        <w:jc w:val="both"/>
        <w:rPr>
          <w:rFonts w:cstheme="minorHAnsi"/>
          <w:sz w:val="24"/>
          <w:szCs w:val="24"/>
          <w:lang w:val="en-US"/>
        </w:rPr>
      </w:pPr>
      <w:r w:rsidRPr="007C74EA">
        <w:rPr>
          <w:rFonts w:cstheme="minorHAnsi"/>
          <w:sz w:val="24"/>
          <w:szCs w:val="24"/>
          <w:lang w:val="en-US"/>
        </w:rPr>
        <w:t xml:space="preserve">JANUARY </w:t>
      </w:r>
      <w:r w:rsidR="001157B4" w:rsidRPr="007C74EA">
        <w:rPr>
          <w:rFonts w:cstheme="minorHAnsi"/>
          <w:sz w:val="24"/>
          <w:szCs w:val="24"/>
          <w:lang w:val="en-US"/>
        </w:rPr>
        <w:t xml:space="preserve">of </w:t>
      </w:r>
      <w:r w:rsidRPr="007C74EA">
        <w:rPr>
          <w:rFonts w:cstheme="minorHAnsi"/>
          <w:sz w:val="24"/>
          <w:szCs w:val="24"/>
          <w:lang w:val="en-US"/>
        </w:rPr>
        <w:t xml:space="preserve">2024 </w:t>
      </w:r>
      <w:r w:rsidR="001157B4" w:rsidRPr="007C74EA">
        <w:rPr>
          <w:rFonts w:cstheme="minorHAnsi"/>
          <w:sz w:val="24"/>
          <w:szCs w:val="24"/>
          <w:lang w:val="en-US"/>
        </w:rPr>
        <w:t xml:space="preserve">to </w:t>
      </w:r>
      <w:r w:rsidRPr="007C74EA">
        <w:rPr>
          <w:rFonts w:cstheme="minorHAnsi"/>
          <w:sz w:val="24"/>
          <w:szCs w:val="24"/>
          <w:lang w:val="en-US"/>
        </w:rPr>
        <w:t xml:space="preserve">DECEMBER </w:t>
      </w:r>
      <w:r w:rsidR="001157B4" w:rsidRPr="007C74EA">
        <w:rPr>
          <w:rFonts w:cstheme="minorHAnsi"/>
          <w:sz w:val="24"/>
          <w:szCs w:val="24"/>
          <w:lang w:val="en-US"/>
        </w:rPr>
        <w:t xml:space="preserve">of </w:t>
      </w:r>
      <w:r w:rsidRPr="007C74EA">
        <w:rPr>
          <w:rFonts w:cstheme="minorHAnsi"/>
          <w:sz w:val="24"/>
          <w:szCs w:val="24"/>
          <w:lang w:val="en-US"/>
        </w:rPr>
        <w:t>2024</w:t>
      </w:r>
    </w:p>
    <w:p w14:paraId="5A0975A5" w14:textId="77777777" w:rsidR="001157B4" w:rsidRPr="007C74EA" w:rsidRDefault="001157B4" w:rsidP="001157B4">
      <w:pPr>
        <w:pStyle w:val="ListParagraph"/>
        <w:ind w:left="1440"/>
        <w:jc w:val="both"/>
        <w:rPr>
          <w:rFonts w:cstheme="minorHAnsi"/>
          <w:sz w:val="24"/>
          <w:szCs w:val="24"/>
          <w:lang w:val="en-US"/>
        </w:rPr>
      </w:pPr>
    </w:p>
    <w:p w14:paraId="37F32305" w14:textId="77777777" w:rsidR="001157B4" w:rsidRPr="007C74EA" w:rsidRDefault="001157B4" w:rsidP="001157B4">
      <w:pPr>
        <w:pStyle w:val="ListParagraph"/>
        <w:numPr>
          <w:ilvl w:val="0"/>
          <w:numId w:val="4"/>
        </w:numPr>
        <w:jc w:val="both"/>
        <w:rPr>
          <w:rFonts w:cstheme="minorHAnsi"/>
          <w:sz w:val="24"/>
          <w:szCs w:val="24"/>
          <w:lang w:val="en-US"/>
        </w:rPr>
      </w:pPr>
      <w:r w:rsidRPr="007C74EA">
        <w:rPr>
          <w:rFonts w:cstheme="minorHAnsi"/>
          <w:sz w:val="24"/>
          <w:szCs w:val="24"/>
          <w:lang w:val="en-US"/>
        </w:rPr>
        <w:t xml:space="preserve">Period of injury </w:t>
      </w:r>
      <w:r w:rsidR="00422A8D" w:rsidRPr="007C74EA">
        <w:rPr>
          <w:rFonts w:cstheme="minorHAnsi"/>
          <w:sz w:val="24"/>
          <w:szCs w:val="24"/>
          <w:lang w:val="en-US"/>
        </w:rPr>
        <w:t>review</w:t>
      </w:r>
    </w:p>
    <w:p w14:paraId="059335C3" w14:textId="60EEEB13" w:rsidR="001157B4" w:rsidRPr="007C74EA" w:rsidRDefault="007C74EA" w:rsidP="001157B4">
      <w:pPr>
        <w:ind w:left="142"/>
        <w:jc w:val="both"/>
        <w:rPr>
          <w:rFonts w:cstheme="minorHAnsi"/>
          <w:sz w:val="24"/>
          <w:szCs w:val="24"/>
          <w:lang w:val="en-US"/>
        </w:rPr>
      </w:pPr>
      <w:r w:rsidRPr="007C74EA">
        <w:rPr>
          <w:rFonts w:cstheme="minorHAnsi"/>
          <w:sz w:val="24"/>
          <w:szCs w:val="24"/>
          <w:lang w:val="en-US"/>
        </w:rPr>
        <w:t>JANUARY of 2020 to DECEMBER of 2024</w:t>
      </w:r>
      <w:r w:rsidR="001157B4" w:rsidRPr="007C74EA">
        <w:rPr>
          <w:rFonts w:cstheme="minorHAnsi"/>
          <w:sz w:val="24"/>
          <w:szCs w:val="24"/>
          <w:lang w:val="en-US"/>
        </w:rPr>
        <w:t>, divided into five periods, in accordance to the specification below:</w:t>
      </w:r>
    </w:p>
    <w:p w14:paraId="7B821D21" w14:textId="69932312" w:rsidR="001157B4" w:rsidRPr="007C74EA" w:rsidRDefault="001157B4" w:rsidP="001157B4">
      <w:pPr>
        <w:pStyle w:val="ListParagraph"/>
        <w:ind w:left="1440"/>
        <w:jc w:val="both"/>
        <w:rPr>
          <w:rFonts w:cstheme="minorHAnsi"/>
          <w:sz w:val="24"/>
          <w:szCs w:val="24"/>
          <w:lang w:val="en-US"/>
        </w:rPr>
      </w:pPr>
      <w:r w:rsidRPr="007C74EA">
        <w:rPr>
          <w:rFonts w:cstheme="minorHAnsi"/>
          <w:sz w:val="24"/>
          <w:szCs w:val="24"/>
          <w:lang w:val="en-US"/>
        </w:rPr>
        <w:t xml:space="preserve">P1 - </w:t>
      </w:r>
      <w:r w:rsidR="007C74EA" w:rsidRPr="007C74EA">
        <w:rPr>
          <w:rFonts w:cstheme="minorHAnsi"/>
          <w:sz w:val="24"/>
          <w:szCs w:val="24"/>
          <w:lang w:val="en-US"/>
        </w:rPr>
        <w:t>JANUARY of 2020 to DECEMBER of 2020</w:t>
      </w:r>
    </w:p>
    <w:p w14:paraId="49A46A08" w14:textId="30879D31" w:rsidR="001157B4" w:rsidRPr="007C74EA" w:rsidRDefault="001157B4" w:rsidP="001157B4">
      <w:pPr>
        <w:pStyle w:val="ListParagraph"/>
        <w:ind w:left="1440"/>
        <w:jc w:val="both"/>
        <w:rPr>
          <w:rFonts w:cstheme="minorHAnsi"/>
          <w:sz w:val="24"/>
          <w:szCs w:val="24"/>
          <w:lang w:val="en-US"/>
        </w:rPr>
      </w:pPr>
      <w:r w:rsidRPr="007C74EA">
        <w:rPr>
          <w:rFonts w:cstheme="minorHAnsi"/>
          <w:sz w:val="24"/>
          <w:szCs w:val="24"/>
          <w:lang w:val="en-US"/>
        </w:rPr>
        <w:t xml:space="preserve">P2 - </w:t>
      </w:r>
      <w:r w:rsidR="007C74EA" w:rsidRPr="007C74EA">
        <w:rPr>
          <w:rFonts w:cstheme="minorHAnsi"/>
          <w:sz w:val="24"/>
          <w:szCs w:val="24"/>
          <w:lang w:val="en-US"/>
        </w:rPr>
        <w:t>JANUARY of 2021 to DECEMBER of 2021</w:t>
      </w:r>
    </w:p>
    <w:p w14:paraId="4384963D" w14:textId="03B755AB" w:rsidR="001157B4" w:rsidRPr="007C74EA" w:rsidRDefault="001157B4" w:rsidP="001157B4">
      <w:pPr>
        <w:pStyle w:val="ListParagraph"/>
        <w:ind w:left="1440"/>
        <w:jc w:val="both"/>
        <w:rPr>
          <w:rFonts w:cstheme="minorHAnsi"/>
          <w:sz w:val="24"/>
          <w:szCs w:val="24"/>
          <w:lang w:val="en-US"/>
        </w:rPr>
      </w:pPr>
      <w:r w:rsidRPr="007C74EA">
        <w:rPr>
          <w:rFonts w:cstheme="minorHAnsi"/>
          <w:sz w:val="24"/>
          <w:szCs w:val="24"/>
          <w:lang w:val="en-US"/>
        </w:rPr>
        <w:t xml:space="preserve">P3 - </w:t>
      </w:r>
      <w:r w:rsidR="007C74EA" w:rsidRPr="007C74EA">
        <w:rPr>
          <w:rFonts w:cstheme="minorHAnsi"/>
          <w:sz w:val="24"/>
          <w:szCs w:val="24"/>
          <w:lang w:val="en-US"/>
        </w:rPr>
        <w:t>JANUARY of 2022 to DECEMBER of 2022</w:t>
      </w:r>
    </w:p>
    <w:p w14:paraId="50847A20" w14:textId="57D7E201" w:rsidR="001157B4" w:rsidRPr="007C74EA" w:rsidRDefault="001157B4" w:rsidP="001157B4">
      <w:pPr>
        <w:pStyle w:val="ListParagraph"/>
        <w:ind w:left="1440"/>
        <w:jc w:val="both"/>
        <w:rPr>
          <w:rFonts w:cstheme="minorHAnsi"/>
          <w:sz w:val="24"/>
          <w:szCs w:val="24"/>
          <w:lang w:val="en-US"/>
        </w:rPr>
      </w:pPr>
      <w:r w:rsidRPr="007C74EA">
        <w:rPr>
          <w:rFonts w:cstheme="minorHAnsi"/>
          <w:sz w:val="24"/>
          <w:szCs w:val="24"/>
          <w:lang w:val="en-US"/>
        </w:rPr>
        <w:t xml:space="preserve">P4 - </w:t>
      </w:r>
      <w:r w:rsidR="007C74EA" w:rsidRPr="007C74EA">
        <w:rPr>
          <w:rFonts w:cstheme="minorHAnsi"/>
          <w:sz w:val="24"/>
          <w:szCs w:val="24"/>
          <w:lang w:val="en-US"/>
        </w:rPr>
        <w:t>JANUARY of 2023 to DECEMBER of 2023</w:t>
      </w:r>
    </w:p>
    <w:p w14:paraId="054E00E9" w14:textId="27749803" w:rsidR="001157B4" w:rsidRPr="007C74EA" w:rsidRDefault="001157B4" w:rsidP="001157B4">
      <w:pPr>
        <w:pStyle w:val="ListParagraph"/>
        <w:ind w:left="1440"/>
        <w:jc w:val="both"/>
        <w:rPr>
          <w:rFonts w:cstheme="minorHAnsi"/>
          <w:sz w:val="24"/>
          <w:szCs w:val="24"/>
          <w:lang w:val="en-US"/>
        </w:rPr>
      </w:pPr>
      <w:r w:rsidRPr="007C74EA">
        <w:rPr>
          <w:rFonts w:cstheme="minorHAnsi"/>
          <w:sz w:val="24"/>
          <w:szCs w:val="24"/>
          <w:lang w:val="en-US"/>
        </w:rPr>
        <w:t>P</w:t>
      </w:r>
      <w:r w:rsidR="00531868" w:rsidRPr="007C74EA">
        <w:rPr>
          <w:rFonts w:cstheme="minorHAnsi"/>
          <w:sz w:val="24"/>
          <w:szCs w:val="24"/>
          <w:lang w:val="en-US"/>
        </w:rPr>
        <w:t>5</w:t>
      </w:r>
      <w:r w:rsidRPr="007C74EA">
        <w:rPr>
          <w:rFonts w:cstheme="minorHAnsi"/>
          <w:sz w:val="24"/>
          <w:szCs w:val="24"/>
          <w:lang w:val="en-US"/>
        </w:rPr>
        <w:t xml:space="preserve"> - </w:t>
      </w:r>
      <w:r w:rsidR="007C74EA" w:rsidRPr="007C74EA">
        <w:rPr>
          <w:rFonts w:cstheme="minorHAnsi"/>
          <w:sz w:val="24"/>
          <w:szCs w:val="24"/>
          <w:lang w:val="en-US"/>
        </w:rPr>
        <w:t>JANUARY of 2024 to DECEMBER of 2024</w:t>
      </w: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2422DD8B" w:rsidR="00F851FB" w:rsidRPr="00711517" w:rsidRDefault="00F851FB" w:rsidP="000D7CD5">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7C0E6911" w14:textId="6168622D" w:rsidR="00475A6B" w:rsidRPr="001175E1" w:rsidRDefault="00A63308" w:rsidP="001175E1">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4FE1A564" w14:textId="77777777" w:rsidR="00475A6B" w:rsidRPr="00711517" w:rsidRDefault="00475A6B" w:rsidP="000D7CD5">
      <w:pPr>
        <w:jc w:val="both"/>
        <w:rPr>
          <w:rFonts w:cstheme="minorHAnsi"/>
          <w:b/>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2A9097CB" w:rsidR="00A63308" w:rsidRPr="00711517" w:rsidRDefault="00A63308" w:rsidP="00A63308">
      <w:pPr>
        <w:ind w:left="360" w:hanging="360"/>
        <w:jc w:val="both"/>
        <w:rPr>
          <w:rFonts w:cstheme="minorHAnsi"/>
          <w:sz w:val="24"/>
          <w:szCs w:val="24"/>
          <w:lang w:val="en-US"/>
        </w:rPr>
      </w:pPr>
    </w:p>
    <w:p w14:paraId="0E248433" w14:textId="77777777" w:rsidR="00A4067C" w:rsidRPr="00711517" w:rsidRDefault="00A4067C" w:rsidP="000D7CD5">
      <w:pPr>
        <w:pBdr>
          <w:top w:val="single" w:sz="4" w:space="1" w:color="auto"/>
          <w:left w:val="single" w:sz="4" w:space="4" w:color="auto"/>
          <w:bottom w:val="single" w:sz="4" w:space="1" w:color="auto"/>
          <w:right w:val="single" w:sz="4" w:space="4" w:color="auto"/>
        </w:pBd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256672C3" w:rsidR="00A63308" w:rsidRPr="00711517" w:rsidRDefault="00A63308" w:rsidP="000D7CD5">
      <w:pPr>
        <w:pBdr>
          <w:top w:val="single" w:sz="4" w:space="1" w:color="auto"/>
          <w:left w:val="single" w:sz="4" w:space="4" w:color="auto"/>
          <w:bottom w:val="single" w:sz="4" w:space="1" w:color="auto"/>
          <w:right w:val="single" w:sz="4" w:space="4" w:color="auto"/>
        </w:pBdr>
        <w:ind w:left="142"/>
        <w:jc w:val="center"/>
        <w:rPr>
          <w:rFonts w:cstheme="minorHAnsi"/>
          <w:b/>
          <w:sz w:val="24"/>
          <w:szCs w:val="24"/>
          <w:lang w:val="en-US"/>
        </w:rPr>
      </w:pPr>
      <w:r w:rsidRPr="00711517">
        <w:rPr>
          <w:rFonts w:cstheme="minorHAnsi"/>
          <w:b/>
          <w:sz w:val="24"/>
          <w:szCs w:val="24"/>
          <w:lang w:val="en-US"/>
        </w:rPr>
        <w:t>IV – D</w:t>
      </w:r>
      <w:r w:rsidR="00576861"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leGrid"/>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855609"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855609"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4A4F8DDF" w:rsidR="0096624D" w:rsidRPr="00711517" w:rsidRDefault="0096624D" w:rsidP="0096624D">
      <w:pPr>
        <w:ind w:left="360" w:hanging="360"/>
        <w:jc w:val="both"/>
        <w:rPr>
          <w:rFonts w:cstheme="minorHAnsi"/>
          <w:sz w:val="24"/>
          <w:szCs w:val="24"/>
          <w:lang w:val="en-US"/>
        </w:rPr>
      </w:pPr>
    </w:p>
    <w:p w14:paraId="6769F6A4" w14:textId="77777777" w:rsidR="003A4120" w:rsidRPr="00711517" w:rsidRDefault="003A4120" w:rsidP="000D7CD5">
      <w:pPr>
        <w:pBdr>
          <w:top w:val="single" w:sz="4" w:space="1" w:color="auto"/>
          <w:left w:val="single" w:sz="4" w:space="4" w:color="auto"/>
          <w:bottom w:val="single" w:sz="4" w:space="1" w:color="auto"/>
          <w:right w:val="single" w:sz="4" w:space="4" w:color="auto"/>
        </w:pBd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0D7CD5">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5B64EE44" w:rsidR="00A63308" w:rsidRPr="00711517" w:rsidRDefault="00A63308" w:rsidP="000D7CD5">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30DDB7F8" w:rsidR="00A63308" w:rsidRPr="00711517" w:rsidRDefault="00A63308" w:rsidP="00A63308">
      <w:pPr>
        <w:jc w:val="both"/>
        <w:rPr>
          <w:rFonts w:cstheme="minorHAnsi"/>
          <w:sz w:val="24"/>
          <w:szCs w:val="24"/>
          <w:u w:val="single"/>
          <w:lang w:val="en-US"/>
        </w:rPr>
      </w:pPr>
    </w:p>
    <w:p w14:paraId="62E03A15" w14:textId="77777777" w:rsidR="00A63308" w:rsidRPr="00711517" w:rsidRDefault="00A63308" w:rsidP="000D7CD5">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5729C052"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r w:rsidR="00E21FB8">
        <w:rPr>
          <w:rFonts w:cstheme="minorHAnsi"/>
          <w:b/>
          <w:bCs/>
          <w:sz w:val="24"/>
          <w:szCs w:val="24"/>
          <w:lang w:val="en-US"/>
        </w:rPr>
        <w:t>(NOT APPLICABLE/DISREGARD)</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1DFD0CAD"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xml:space="preserve">, preferably weight unit: </w:t>
      </w:r>
      <w:r w:rsidR="002B18D3">
        <w:rPr>
          <w:rFonts w:cstheme="minorHAnsi"/>
          <w:b/>
          <w:bCs/>
          <w:sz w:val="24"/>
          <w:szCs w:val="24"/>
          <w:lang w:val="en-US"/>
        </w:rPr>
        <w:t>kilograms</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45A95884"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057B9B2A" w:rsidR="00A63308" w:rsidRPr="00711517" w:rsidRDefault="00A63308" w:rsidP="0013617D">
      <w:pPr>
        <w:rPr>
          <w:rFonts w:cstheme="minorHAnsi"/>
          <w:sz w:val="24"/>
          <w:szCs w:val="24"/>
          <w:lang w:val="en-US"/>
        </w:rPr>
      </w:pPr>
    </w:p>
    <w:p w14:paraId="637C797C" w14:textId="77777777" w:rsidR="00393049" w:rsidRPr="00711517" w:rsidRDefault="00A63308" w:rsidP="000D7CD5">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0D7CD5">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BodyText"/>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leGrid"/>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leGrid"/>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leGrid"/>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leGrid"/>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leGrid"/>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855609"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855609"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855609"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855609"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855609"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855609"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855609"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855609"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855609"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Report the total fixed cost, which shall correspond to 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855609"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855609"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855609"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855609"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855609"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855609"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39568974" w:rsidR="00A1498D" w:rsidRPr="00711517" w:rsidRDefault="00A1498D" w:rsidP="00A1498D">
      <w:pPr>
        <w:rPr>
          <w:rFonts w:cstheme="minorHAnsi"/>
          <w:b/>
          <w:sz w:val="24"/>
          <w:szCs w:val="24"/>
          <w:lang w:val="en-US"/>
        </w:rPr>
      </w:pPr>
    </w:p>
    <w:p w14:paraId="12CE5425" w14:textId="77777777" w:rsidR="003A4120" w:rsidRPr="00711517" w:rsidRDefault="003A4120" w:rsidP="00E31159">
      <w:pPr>
        <w:pBdr>
          <w:top w:val="single" w:sz="4" w:space="1" w:color="auto"/>
          <w:left w:val="single" w:sz="4" w:space="4" w:color="auto"/>
          <w:bottom w:val="single" w:sz="4" w:space="1" w:color="auto"/>
          <w:right w:val="single" w:sz="4" w:space="4" w:color="auto"/>
        </w:pBd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E31159">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E31159">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E31159">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E31159">
      <w:pPr>
        <w:pBdr>
          <w:top w:val="single" w:sz="4" w:space="1" w:color="auto"/>
          <w:left w:val="single" w:sz="4" w:space="4" w:color="auto"/>
          <w:bottom w:val="single" w:sz="4" w:space="1" w:color="auto"/>
          <w:right w:val="single" w:sz="4" w:space="4" w:color="auto"/>
        </w:pBd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4930428C" w14:textId="77777777" w:rsidR="00E31159" w:rsidRDefault="00E31159" w:rsidP="008B38D1">
      <w:pPr>
        <w:jc w:val="center"/>
        <w:rPr>
          <w:rFonts w:cstheme="minorHAnsi"/>
          <w:b/>
          <w:sz w:val="24"/>
          <w:szCs w:val="24"/>
          <w:lang w:val="en-US"/>
        </w:rPr>
      </w:pPr>
    </w:p>
    <w:p w14:paraId="2EEC64C4" w14:textId="74B1199B" w:rsidR="008B38D1" w:rsidRPr="00711517" w:rsidRDefault="008B38D1" w:rsidP="00E31159">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6053F6A4" w:rsidR="008B38D1" w:rsidRPr="00711517" w:rsidRDefault="008B38D1" w:rsidP="008B38D1">
      <w:pPr>
        <w:jc w:val="both"/>
        <w:rPr>
          <w:rFonts w:cstheme="minorHAnsi"/>
          <w:sz w:val="24"/>
          <w:szCs w:val="24"/>
          <w:u w:val="single"/>
          <w:lang w:val="en-US"/>
        </w:rPr>
      </w:pPr>
    </w:p>
    <w:p w14:paraId="0D50F93E" w14:textId="77777777" w:rsidR="008B38D1" w:rsidRPr="00711517" w:rsidRDefault="008B38D1" w:rsidP="00E31159">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06BD28AF"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r w:rsidR="00BB1AB7">
        <w:rPr>
          <w:rFonts w:cstheme="minorHAnsi"/>
          <w:b/>
          <w:bCs/>
          <w:sz w:val="24"/>
          <w:szCs w:val="24"/>
          <w:lang w:val="en-US"/>
        </w:rPr>
        <w:t xml:space="preserve"> (NOT APPLICABLE/DISREGARD)</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43F2FF58"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xml:space="preserve">, preferably weight unit: </w:t>
      </w:r>
      <w:r w:rsidR="00115331">
        <w:rPr>
          <w:rFonts w:cstheme="minorHAnsi"/>
          <w:b/>
          <w:bCs/>
          <w:sz w:val="24"/>
          <w:szCs w:val="24"/>
          <w:lang w:val="en-US"/>
        </w:rPr>
        <w:t>kilograms</w:t>
      </w:r>
      <w:r w:rsidR="00201C61" w:rsidRPr="00711517">
        <w:rPr>
          <w:rFonts w:cstheme="minorHAnsi"/>
          <w:b/>
          <w:bCs/>
          <w:sz w:val="24"/>
          <w:szCs w:val="24"/>
          <w:lang w:val="en-US"/>
        </w:rPr>
        <w: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07464A5A"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386AA9C" w:rsidR="008B38D1" w:rsidRPr="00711517" w:rsidRDefault="008B38D1" w:rsidP="008B38D1">
      <w:pPr>
        <w:jc w:val="both"/>
        <w:rPr>
          <w:rFonts w:cstheme="minorHAnsi"/>
          <w:sz w:val="24"/>
          <w:szCs w:val="24"/>
          <w:lang w:val="en-US"/>
        </w:rPr>
      </w:pPr>
    </w:p>
    <w:p w14:paraId="3CE1930B" w14:textId="77777777" w:rsidR="008B38D1" w:rsidRPr="00711517" w:rsidRDefault="008B38D1" w:rsidP="00E31159">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E31159">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BodyText"/>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leGrid"/>
        <w:tblW w:w="10053" w:type="dxa"/>
        <w:tblLook w:val="04A0" w:firstRow="1" w:lastRow="0" w:firstColumn="1" w:lastColumn="0" w:noHBand="0" w:noVBand="1"/>
      </w:tblPr>
      <w:tblGrid>
        <w:gridCol w:w="10053"/>
      </w:tblGrid>
      <w:tr w:rsidR="00A24301" w:rsidRPr="00855609"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110BD39C" w:rsidR="00B54E60" w:rsidRPr="00711517" w:rsidRDefault="00B54E60" w:rsidP="00B54E60">
      <w:pPr>
        <w:rPr>
          <w:rFonts w:cstheme="minorHAnsi"/>
          <w:sz w:val="24"/>
          <w:szCs w:val="24"/>
          <w:lang w:val="en-US"/>
        </w:rPr>
      </w:pPr>
    </w:p>
    <w:p w14:paraId="11AB432C" w14:textId="77777777" w:rsidR="00AD707F" w:rsidRPr="00711517" w:rsidRDefault="008B38D1" w:rsidP="00E31159">
      <w:pPr>
        <w:pBdr>
          <w:top w:val="single" w:sz="4" w:space="1" w:color="auto"/>
          <w:left w:val="single" w:sz="4" w:space="4" w:color="auto"/>
          <w:bottom w:val="single" w:sz="4" w:space="1" w:color="auto"/>
          <w:right w:val="single" w:sz="4" w:space="4" w:color="auto"/>
        </w:pBd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E31159">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E31159">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E31159">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E31159">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Heading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Heading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Heading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Heading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Heading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Heading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Heading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Heading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Heading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2"/>
      <w:footerReference w:type="defaul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574AC" w14:textId="77777777" w:rsidR="006B3CE8" w:rsidRDefault="006B3CE8">
      <w:pPr>
        <w:spacing w:after="0" w:line="240" w:lineRule="auto"/>
      </w:pPr>
      <w:r>
        <w:separator/>
      </w:r>
    </w:p>
  </w:endnote>
  <w:endnote w:type="continuationSeparator" w:id="0">
    <w:p w14:paraId="15E13FCD" w14:textId="77777777" w:rsidR="006B3CE8" w:rsidRDefault="006B3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34C19" w14:textId="77777777" w:rsidR="00736101" w:rsidRPr="00343607" w:rsidRDefault="00736101">
    <w:pPr>
      <w:pStyle w:val="Footer"/>
      <w:framePr w:wrap="auto" w:vAnchor="text" w:hAnchor="margin" w:xAlign="right" w:y="1"/>
      <w:rPr>
        <w:rStyle w:val="PageNumber"/>
        <w:lang w:val="en-US"/>
      </w:rPr>
    </w:pPr>
    <w:r>
      <w:rPr>
        <w:rStyle w:val="PageNumber"/>
      </w:rPr>
      <w:fldChar w:fldCharType="begin"/>
    </w:r>
    <w:r w:rsidRPr="00343607">
      <w:rPr>
        <w:rStyle w:val="PageNumber"/>
        <w:lang w:val="en-US"/>
      </w:rPr>
      <w:instrText xml:space="preserve">PAGE  </w:instrText>
    </w:r>
    <w:r>
      <w:rPr>
        <w:rStyle w:val="PageNumber"/>
      </w:rPr>
      <w:fldChar w:fldCharType="separate"/>
    </w:r>
    <w:r w:rsidR="00687113" w:rsidRPr="00343607">
      <w:rPr>
        <w:rStyle w:val="PageNumber"/>
        <w:noProof/>
        <w:lang w:val="en-US"/>
      </w:rPr>
      <w:t>20</w:t>
    </w:r>
    <w:r>
      <w:rPr>
        <w:rStyle w:val="PageNumber"/>
      </w:rPr>
      <w:fldChar w:fldCharType="end"/>
    </w:r>
  </w:p>
  <w:p w14:paraId="254B5A3D" w14:textId="664D5593" w:rsidR="00736101" w:rsidRPr="00B10A3A" w:rsidRDefault="00736101" w:rsidP="00B10A3A">
    <w:pPr>
      <w:pStyle w:val="Footer"/>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43398" w14:textId="77777777" w:rsidR="00736101" w:rsidRDefault="00736101">
    <w:pPr>
      <w:pStyle w:val="Footer"/>
      <w:rPr>
        <w:sz w:val="16"/>
        <w:szCs w:val="16"/>
      </w:rPr>
    </w:pPr>
  </w:p>
  <w:p w14:paraId="593C1314" w14:textId="585F97BF" w:rsidR="00736101" w:rsidRPr="00B10A3A" w:rsidRDefault="00736101">
    <w:pPr>
      <w:pStyle w:val="Footer"/>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28A21" w14:textId="77777777" w:rsidR="006B3CE8" w:rsidRDefault="006B3CE8">
      <w:pPr>
        <w:spacing w:after="0" w:line="240" w:lineRule="auto"/>
      </w:pPr>
      <w:r>
        <w:separator/>
      </w:r>
    </w:p>
  </w:footnote>
  <w:footnote w:type="continuationSeparator" w:id="0">
    <w:p w14:paraId="6C78A45C" w14:textId="77777777" w:rsidR="006B3CE8" w:rsidRDefault="006B3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73713" w14:textId="77777777" w:rsidR="00736101" w:rsidRPr="00E90ABD" w:rsidRDefault="00736101" w:rsidP="00E90ABD">
    <w:pPr>
      <w:pStyle w:val="Header"/>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Heading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3128"/>
    <w:rsid w:val="00005701"/>
    <w:rsid w:val="00007F0E"/>
    <w:rsid w:val="000120D0"/>
    <w:rsid w:val="00023431"/>
    <w:rsid w:val="0003164F"/>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6DB"/>
    <w:rsid w:val="000C483E"/>
    <w:rsid w:val="000D0FED"/>
    <w:rsid w:val="000D7CD5"/>
    <w:rsid w:val="000E21EC"/>
    <w:rsid w:val="000E3096"/>
    <w:rsid w:val="000E7C0F"/>
    <w:rsid w:val="000F06A6"/>
    <w:rsid w:val="000F2072"/>
    <w:rsid w:val="000F2B96"/>
    <w:rsid w:val="000F69B0"/>
    <w:rsid w:val="00103061"/>
    <w:rsid w:val="001066B4"/>
    <w:rsid w:val="00115331"/>
    <w:rsid w:val="001157B4"/>
    <w:rsid w:val="001175E1"/>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3723"/>
    <w:rsid w:val="00177B42"/>
    <w:rsid w:val="0018446F"/>
    <w:rsid w:val="00186EED"/>
    <w:rsid w:val="00187D60"/>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32D8"/>
    <w:rsid w:val="001E5DE3"/>
    <w:rsid w:val="001F3049"/>
    <w:rsid w:val="001F64C1"/>
    <w:rsid w:val="00201C61"/>
    <w:rsid w:val="002068D1"/>
    <w:rsid w:val="002108D8"/>
    <w:rsid w:val="00214958"/>
    <w:rsid w:val="00220AB9"/>
    <w:rsid w:val="00220D9D"/>
    <w:rsid w:val="002300A2"/>
    <w:rsid w:val="002339F3"/>
    <w:rsid w:val="002342B9"/>
    <w:rsid w:val="00234EFC"/>
    <w:rsid w:val="00236242"/>
    <w:rsid w:val="00237466"/>
    <w:rsid w:val="00242520"/>
    <w:rsid w:val="00244FE9"/>
    <w:rsid w:val="00245D78"/>
    <w:rsid w:val="002462A8"/>
    <w:rsid w:val="00257A0B"/>
    <w:rsid w:val="002613D4"/>
    <w:rsid w:val="00262D7C"/>
    <w:rsid w:val="00264338"/>
    <w:rsid w:val="00264725"/>
    <w:rsid w:val="00270743"/>
    <w:rsid w:val="00270CFE"/>
    <w:rsid w:val="0027346B"/>
    <w:rsid w:val="002767A2"/>
    <w:rsid w:val="00281065"/>
    <w:rsid w:val="00281186"/>
    <w:rsid w:val="00281630"/>
    <w:rsid w:val="0028184E"/>
    <w:rsid w:val="0028194A"/>
    <w:rsid w:val="00283360"/>
    <w:rsid w:val="002874F6"/>
    <w:rsid w:val="0029413E"/>
    <w:rsid w:val="002A0588"/>
    <w:rsid w:val="002A46F9"/>
    <w:rsid w:val="002B18D3"/>
    <w:rsid w:val="002B1F14"/>
    <w:rsid w:val="002B2A72"/>
    <w:rsid w:val="002B73DF"/>
    <w:rsid w:val="002D3B2C"/>
    <w:rsid w:val="002D3B83"/>
    <w:rsid w:val="002E41C8"/>
    <w:rsid w:val="002E4674"/>
    <w:rsid w:val="002F0981"/>
    <w:rsid w:val="002F3B74"/>
    <w:rsid w:val="00303183"/>
    <w:rsid w:val="003074BE"/>
    <w:rsid w:val="003134B7"/>
    <w:rsid w:val="00315185"/>
    <w:rsid w:val="00316A64"/>
    <w:rsid w:val="00322C40"/>
    <w:rsid w:val="003244BF"/>
    <w:rsid w:val="00325B7A"/>
    <w:rsid w:val="0033099C"/>
    <w:rsid w:val="00333099"/>
    <w:rsid w:val="00334F14"/>
    <w:rsid w:val="003420B6"/>
    <w:rsid w:val="0034228C"/>
    <w:rsid w:val="00343607"/>
    <w:rsid w:val="00346716"/>
    <w:rsid w:val="00347379"/>
    <w:rsid w:val="0035060F"/>
    <w:rsid w:val="00350CC7"/>
    <w:rsid w:val="00352AE2"/>
    <w:rsid w:val="003564A7"/>
    <w:rsid w:val="00356A41"/>
    <w:rsid w:val="00357067"/>
    <w:rsid w:val="00360936"/>
    <w:rsid w:val="00361C67"/>
    <w:rsid w:val="003641D0"/>
    <w:rsid w:val="00364353"/>
    <w:rsid w:val="00364858"/>
    <w:rsid w:val="00365B28"/>
    <w:rsid w:val="0036633F"/>
    <w:rsid w:val="00366C5E"/>
    <w:rsid w:val="00370AEF"/>
    <w:rsid w:val="00374AAB"/>
    <w:rsid w:val="003807D1"/>
    <w:rsid w:val="00390097"/>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25BA"/>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5100"/>
    <w:rsid w:val="004672CA"/>
    <w:rsid w:val="00473DD7"/>
    <w:rsid w:val="00474F08"/>
    <w:rsid w:val="00475A6B"/>
    <w:rsid w:val="00482610"/>
    <w:rsid w:val="00483299"/>
    <w:rsid w:val="00484CE9"/>
    <w:rsid w:val="00485863"/>
    <w:rsid w:val="00487B41"/>
    <w:rsid w:val="0049356D"/>
    <w:rsid w:val="00494E76"/>
    <w:rsid w:val="00495ED4"/>
    <w:rsid w:val="004A096E"/>
    <w:rsid w:val="004A351E"/>
    <w:rsid w:val="004A4696"/>
    <w:rsid w:val="004A48BA"/>
    <w:rsid w:val="004A571A"/>
    <w:rsid w:val="004A796C"/>
    <w:rsid w:val="004B1E28"/>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093C"/>
    <w:rsid w:val="0052421B"/>
    <w:rsid w:val="00531739"/>
    <w:rsid w:val="00531868"/>
    <w:rsid w:val="005327AA"/>
    <w:rsid w:val="00533901"/>
    <w:rsid w:val="0053395E"/>
    <w:rsid w:val="005347F1"/>
    <w:rsid w:val="005367C5"/>
    <w:rsid w:val="00540FE4"/>
    <w:rsid w:val="005442AE"/>
    <w:rsid w:val="00544825"/>
    <w:rsid w:val="0054503F"/>
    <w:rsid w:val="00557FFE"/>
    <w:rsid w:val="00560DAD"/>
    <w:rsid w:val="00576861"/>
    <w:rsid w:val="00584E6A"/>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5F3332"/>
    <w:rsid w:val="00601833"/>
    <w:rsid w:val="00601BDD"/>
    <w:rsid w:val="00607019"/>
    <w:rsid w:val="00607022"/>
    <w:rsid w:val="00611485"/>
    <w:rsid w:val="00617131"/>
    <w:rsid w:val="00617151"/>
    <w:rsid w:val="00617CA4"/>
    <w:rsid w:val="006222FB"/>
    <w:rsid w:val="0062734C"/>
    <w:rsid w:val="0063161C"/>
    <w:rsid w:val="00632096"/>
    <w:rsid w:val="00632E23"/>
    <w:rsid w:val="0063530B"/>
    <w:rsid w:val="00637CD6"/>
    <w:rsid w:val="0064043F"/>
    <w:rsid w:val="00641921"/>
    <w:rsid w:val="006444C5"/>
    <w:rsid w:val="006467D9"/>
    <w:rsid w:val="00646F0C"/>
    <w:rsid w:val="00651AC2"/>
    <w:rsid w:val="0067026F"/>
    <w:rsid w:val="00671844"/>
    <w:rsid w:val="00674DEA"/>
    <w:rsid w:val="00675D0A"/>
    <w:rsid w:val="006865B1"/>
    <w:rsid w:val="00686BB7"/>
    <w:rsid w:val="00686CB2"/>
    <w:rsid w:val="00687113"/>
    <w:rsid w:val="0069155D"/>
    <w:rsid w:val="0069167F"/>
    <w:rsid w:val="00692FFF"/>
    <w:rsid w:val="00696412"/>
    <w:rsid w:val="006A3F0F"/>
    <w:rsid w:val="006A51CA"/>
    <w:rsid w:val="006A5E19"/>
    <w:rsid w:val="006B0739"/>
    <w:rsid w:val="006B3CE8"/>
    <w:rsid w:val="006B4FC0"/>
    <w:rsid w:val="006B5504"/>
    <w:rsid w:val="006B67FE"/>
    <w:rsid w:val="006B6A31"/>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56F46"/>
    <w:rsid w:val="0076296B"/>
    <w:rsid w:val="00762CD7"/>
    <w:rsid w:val="00765DD6"/>
    <w:rsid w:val="00767BE6"/>
    <w:rsid w:val="00770347"/>
    <w:rsid w:val="00771EE8"/>
    <w:rsid w:val="00782AEF"/>
    <w:rsid w:val="00786DA5"/>
    <w:rsid w:val="007874CA"/>
    <w:rsid w:val="00793306"/>
    <w:rsid w:val="007A2D30"/>
    <w:rsid w:val="007A3F66"/>
    <w:rsid w:val="007A5965"/>
    <w:rsid w:val="007B279D"/>
    <w:rsid w:val="007B4809"/>
    <w:rsid w:val="007B4FCB"/>
    <w:rsid w:val="007B5F15"/>
    <w:rsid w:val="007B7A5D"/>
    <w:rsid w:val="007C28E9"/>
    <w:rsid w:val="007C3C40"/>
    <w:rsid w:val="007C74EA"/>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443B"/>
    <w:rsid w:val="00836DAA"/>
    <w:rsid w:val="008408FA"/>
    <w:rsid w:val="0084120E"/>
    <w:rsid w:val="0084255B"/>
    <w:rsid w:val="008433E9"/>
    <w:rsid w:val="00845A17"/>
    <w:rsid w:val="00847B63"/>
    <w:rsid w:val="00854030"/>
    <w:rsid w:val="00855609"/>
    <w:rsid w:val="00855CE8"/>
    <w:rsid w:val="00862214"/>
    <w:rsid w:val="00862632"/>
    <w:rsid w:val="0086334B"/>
    <w:rsid w:val="008641F2"/>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4E4A"/>
    <w:rsid w:val="00907F8A"/>
    <w:rsid w:val="00910DDB"/>
    <w:rsid w:val="00911867"/>
    <w:rsid w:val="00917A09"/>
    <w:rsid w:val="00920AD4"/>
    <w:rsid w:val="009366A5"/>
    <w:rsid w:val="00940020"/>
    <w:rsid w:val="009405E1"/>
    <w:rsid w:val="0094173D"/>
    <w:rsid w:val="0094408C"/>
    <w:rsid w:val="00947A41"/>
    <w:rsid w:val="0095390A"/>
    <w:rsid w:val="009630DD"/>
    <w:rsid w:val="009642CE"/>
    <w:rsid w:val="0096624D"/>
    <w:rsid w:val="009711F7"/>
    <w:rsid w:val="009748E2"/>
    <w:rsid w:val="0099693E"/>
    <w:rsid w:val="009A1459"/>
    <w:rsid w:val="009A2706"/>
    <w:rsid w:val="009A3A14"/>
    <w:rsid w:val="009B0FB7"/>
    <w:rsid w:val="009B7107"/>
    <w:rsid w:val="009C1D82"/>
    <w:rsid w:val="009D1EDF"/>
    <w:rsid w:val="009D71A1"/>
    <w:rsid w:val="009E05D3"/>
    <w:rsid w:val="009E05DA"/>
    <w:rsid w:val="009E2D8A"/>
    <w:rsid w:val="009E3710"/>
    <w:rsid w:val="009E789B"/>
    <w:rsid w:val="009F092F"/>
    <w:rsid w:val="009F133A"/>
    <w:rsid w:val="009F2C28"/>
    <w:rsid w:val="009F4B88"/>
    <w:rsid w:val="009F7569"/>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97530"/>
    <w:rsid w:val="00AA0E00"/>
    <w:rsid w:val="00AA1963"/>
    <w:rsid w:val="00AA5F8F"/>
    <w:rsid w:val="00AA6D19"/>
    <w:rsid w:val="00AB101F"/>
    <w:rsid w:val="00AC19DD"/>
    <w:rsid w:val="00AC44AB"/>
    <w:rsid w:val="00AC4B0F"/>
    <w:rsid w:val="00AC4C35"/>
    <w:rsid w:val="00AC5239"/>
    <w:rsid w:val="00AC6DE4"/>
    <w:rsid w:val="00AD1816"/>
    <w:rsid w:val="00AD337F"/>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0EC0"/>
    <w:rsid w:val="00B630E9"/>
    <w:rsid w:val="00B71D62"/>
    <w:rsid w:val="00B80F81"/>
    <w:rsid w:val="00B84EF1"/>
    <w:rsid w:val="00B86777"/>
    <w:rsid w:val="00B90C78"/>
    <w:rsid w:val="00B9316B"/>
    <w:rsid w:val="00B9772B"/>
    <w:rsid w:val="00BA0FA2"/>
    <w:rsid w:val="00BA207D"/>
    <w:rsid w:val="00BA38AF"/>
    <w:rsid w:val="00BA3A51"/>
    <w:rsid w:val="00BA599A"/>
    <w:rsid w:val="00BB095B"/>
    <w:rsid w:val="00BB1AB7"/>
    <w:rsid w:val="00BB2BD6"/>
    <w:rsid w:val="00BB3D43"/>
    <w:rsid w:val="00BB4642"/>
    <w:rsid w:val="00BB6204"/>
    <w:rsid w:val="00BB7286"/>
    <w:rsid w:val="00BC144F"/>
    <w:rsid w:val="00BC5039"/>
    <w:rsid w:val="00BC63F1"/>
    <w:rsid w:val="00BD739D"/>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187"/>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38B7"/>
    <w:rsid w:val="00CC52F8"/>
    <w:rsid w:val="00CC634E"/>
    <w:rsid w:val="00CC7D75"/>
    <w:rsid w:val="00CE44A9"/>
    <w:rsid w:val="00CE6372"/>
    <w:rsid w:val="00CE6C62"/>
    <w:rsid w:val="00CE750F"/>
    <w:rsid w:val="00CF0E7A"/>
    <w:rsid w:val="00CF4201"/>
    <w:rsid w:val="00D00321"/>
    <w:rsid w:val="00D006D2"/>
    <w:rsid w:val="00D02768"/>
    <w:rsid w:val="00D0282B"/>
    <w:rsid w:val="00D10D6E"/>
    <w:rsid w:val="00D1457B"/>
    <w:rsid w:val="00D16D66"/>
    <w:rsid w:val="00D176B9"/>
    <w:rsid w:val="00D267A0"/>
    <w:rsid w:val="00D26C50"/>
    <w:rsid w:val="00D339CC"/>
    <w:rsid w:val="00D34914"/>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63328"/>
    <w:rsid w:val="00D715D4"/>
    <w:rsid w:val="00D75574"/>
    <w:rsid w:val="00D765D0"/>
    <w:rsid w:val="00D80555"/>
    <w:rsid w:val="00D84553"/>
    <w:rsid w:val="00D8549C"/>
    <w:rsid w:val="00D90670"/>
    <w:rsid w:val="00D97E39"/>
    <w:rsid w:val="00DA70CC"/>
    <w:rsid w:val="00DB1035"/>
    <w:rsid w:val="00DB76D9"/>
    <w:rsid w:val="00DC3ED7"/>
    <w:rsid w:val="00DD05AA"/>
    <w:rsid w:val="00DE1635"/>
    <w:rsid w:val="00DF4D93"/>
    <w:rsid w:val="00DF5298"/>
    <w:rsid w:val="00DF5729"/>
    <w:rsid w:val="00E1126E"/>
    <w:rsid w:val="00E1151F"/>
    <w:rsid w:val="00E144C9"/>
    <w:rsid w:val="00E14828"/>
    <w:rsid w:val="00E211CF"/>
    <w:rsid w:val="00E21FB8"/>
    <w:rsid w:val="00E22825"/>
    <w:rsid w:val="00E31159"/>
    <w:rsid w:val="00E31264"/>
    <w:rsid w:val="00E34773"/>
    <w:rsid w:val="00E42F8E"/>
    <w:rsid w:val="00E43746"/>
    <w:rsid w:val="00E446CC"/>
    <w:rsid w:val="00E53F31"/>
    <w:rsid w:val="00E62D3D"/>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2DD2"/>
    <w:rsid w:val="00ED35B7"/>
    <w:rsid w:val="00ED5034"/>
    <w:rsid w:val="00ED7DAB"/>
    <w:rsid w:val="00EE37A1"/>
    <w:rsid w:val="00EF24BE"/>
    <w:rsid w:val="00EF2AF1"/>
    <w:rsid w:val="00EF4AB6"/>
    <w:rsid w:val="00F006CC"/>
    <w:rsid w:val="00F03021"/>
    <w:rsid w:val="00F0642B"/>
    <w:rsid w:val="00F10281"/>
    <w:rsid w:val="00F14E0C"/>
    <w:rsid w:val="00F1581E"/>
    <w:rsid w:val="00F16A56"/>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1C4C"/>
    <w:rsid w:val="00F73895"/>
    <w:rsid w:val="00F75488"/>
    <w:rsid w:val="00F758E6"/>
    <w:rsid w:val="00F75CF0"/>
    <w:rsid w:val="00F81B23"/>
    <w:rsid w:val="00F8223F"/>
    <w:rsid w:val="00F851FB"/>
    <w:rsid w:val="00F94F55"/>
    <w:rsid w:val="00F97052"/>
    <w:rsid w:val="00FA445D"/>
    <w:rsid w:val="00FA63CD"/>
    <w:rsid w:val="00FB2220"/>
    <w:rsid w:val="00FB4EEA"/>
    <w:rsid w:val="00FB6ACA"/>
    <w:rsid w:val="00FC17B9"/>
    <w:rsid w:val="00FC7068"/>
    <w:rsid w:val="00FD4A8A"/>
    <w:rsid w:val="00FD5C14"/>
    <w:rsid w:val="00FF3586"/>
    <w:rsid w:val="19BE8D8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D4F01439-E7A5-44B3-B6F0-CEDCE0737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Heading1">
    <w:name w:val="heading 1"/>
    <w:basedOn w:val="Normal"/>
    <w:next w:val="Normal"/>
    <w:link w:val="Heading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Heading2">
    <w:name w:val="heading 2"/>
    <w:basedOn w:val="Normal"/>
    <w:next w:val="Normal"/>
    <w:link w:val="Heading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Heading3">
    <w:name w:val="heading 3"/>
    <w:basedOn w:val="Normal"/>
    <w:next w:val="Normal"/>
    <w:link w:val="Heading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Heading4">
    <w:name w:val="heading 4"/>
    <w:basedOn w:val="Normal"/>
    <w:next w:val="Normal"/>
    <w:link w:val="Heading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Heading5">
    <w:name w:val="heading 5"/>
    <w:basedOn w:val="Normal"/>
    <w:next w:val="Normal"/>
    <w:link w:val="Heading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Heading6">
    <w:name w:val="heading 6"/>
    <w:basedOn w:val="Normal"/>
    <w:next w:val="Normal"/>
    <w:link w:val="Heading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Heading7">
    <w:name w:val="heading 7"/>
    <w:basedOn w:val="Normal"/>
    <w:next w:val="Normal"/>
    <w:link w:val="Heading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Heading8">
    <w:name w:val="heading 8"/>
    <w:basedOn w:val="Normal"/>
    <w:next w:val="Normal"/>
    <w:link w:val="Heading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Heading9">
    <w:name w:val="heading 9"/>
    <w:basedOn w:val="Normal"/>
    <w:next w:val="Normal"/>
    <w:link w:val="Heading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A63308"/>
    <w:pPr>
      <w:suppressAutoHyphens/>
      <w:spacing w:after="120"/>
    </w:pPr>
    <w:rPr>
      <w:rFonts w:ascii="Calibri" w:eastAsia="Arial Unicode MS" w:hAnsi="Calibri" w:cs="Calibri"/>
      <w:kern w:val="1"/>
      <w:lang w:eastAsia="ar-SA"/>
    </w:rPr>
  </w:style>
  <w:style w:type="character" w:customStyle="1" w:styleId="BodyTextChar">
    <w:name w:val="Body Text Char"/>
    <w:basedOn w:val="DefaultParagraphFont"/>
    <w:link w:val="BodyText"/>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ListParagraph">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BalloonText">
    <w:name w:val="Balloon Text"/>
    <w:basedOn w:val="Normal"/>
    <w:link w:val="BalloonTextChar"/>
    <w:semiHidden/>
    <w:unhideWhenUsed/>
    <w:rsid w:val="003E5C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3E5CA8"/>
    <w:rPr>
      <w:rFonts w:ascii="Tahoma" w:hAnsi="Tahoma" w:cs="Tahoma"/>
      <w:sz w:val="16"/>
      <w:szCs w:val="16"/>
    </w:rPr>
  </w:style>
  <w:style w:type="character" w:styleId="CommentReference">
    <w:name w:val="annotation reference"/>
    <w:basedOn w:val="DefaultParagraphFont"/>
    <w:semiHidden/>
    <w:unhideWhenUsed/>
    <w:rsid w:val="001D75CD"/>
    <w:rPr>
      <w:sz w:val="16"/>
      <w:szCs w:val="16"/>
    </w:rPr>
  </w:style>
  <w:style w:type="paragraph" w:styleId="CommentText">
    <w:name w:val="annotation text"/>
    <w:basedOn w:val="Normal"/>
    <w:link w:val="CommentTextChar"/>
    <w:semiHidden/>
    <w:unhideWhenUsed/>
    <w:rsid w:val="001D75CD"/>
    <w:pPr>
      <w:spacing w:line="240" w:lineRule="auto"/>
    </w:pPr>
    <w:rPr>
      <w:sz w:val="20"/>
      <w:szCs w:val="20"/>
    </w:rPr>
  </w:style>
  <w:style w:type="character" w:customStyle="1" w:styleId="CommentTextChar">
    <w:name w:val="Comment Text Char"/>
    <w:basedOn w:val="DefaultParagraphFont"/>
    <w:link w:val="CommentText"/>
    <w:semiHidden/>
    <w:rsid w:val="001D75CD"/>
    <w:rPr>
      <w:sz w:val="20"/>
      <w:szCs w:val="20"/>
    </w:rPr>
  </w:style>
  <w:style w:type="paragraph" w:styleId="CommentSubject">
    <w:name w:val="annotation subject"/>
    <w:basedOn w:val="CommentText"/>
    <w:next w:val="CommentText"/>
    <w:link w:val="CommentSubjectChar"/>
    <w:semiHidden/>
    <w:unhideWhenUsed/>
    <w:rsid w:val="001D75CD"/>
    <w:rPr>
      <w:b/>
      <w:bCs/>
    </w:rPr>
  </w:style>
  <w:style w:type="character" w:customStyle="1" w:styleId="CommentSubjectChar">
    <w:name w:val="Comment Subject Char"/>
    <w:basedOn w:val="CommentTextChar"/>
    <w:link w:val="CommentSubject"/>
    <w:semiHidden/>
    <w:rsid w:val="001D75CD"/>
    <w:rPr>
      <w:b/>
      <w:bCs/>
      <w:sz w:val="20"/>
      <w:szCs w:val="20"/>
    </w:rPr>
  </w:style>
  <w:style w:type="character" w:customStyle="1" w:styleId="Heading1Char">
    <w:name w:val="Heading 1 Char"/>
    <w:basedOn w:val="DefaultParagraphFont"/>
    <w:link w:val="Heading1"/>
    <w:rsid w:val="00641921"/>
    <w:rPr>
      <w:rFonts w:ascii="Arial" w:eastAsia="Times New Roman" w:hAnsi="Arial" w:cs="Times New Roman"/>
      <w:b/>
      <w:snapToGrid w:val="0"/>
      <w:sz w:val="24"/>
      <w:szCs w:val="20"/>
      <w:lang w:eastAsia="pt-BR"/>
    </w:rPr>
  </w:style>
  <w:style w:type="character" w:customStyle="1" w:styleId="Heading7Char">
    <w:name w:val="Heading 7 Char"/>
    <w:basedOn w:val="DefaultParagraphFont"/>
    <w:link w:val="Heading7"/>
    <w:rsid w:val="00641921"/>
    <w:rPr>
      <w:rFonts w:ascii="Times New Roman" w:eastAsia="Times New Roman" w:hAnsi="Times New Roman" w:cs="Times New Roman"/>
      <w:b/>
      <w:bCs/>
      <w:snapToGrid w:val="0"/>
      <w:sz w:val="24"/>
      <w:szCs w:val="20"/>
      <w:lang w:eastAsia="pt-BR"/>
    </w:rPr>
  </w:style>
  <w:style w:type="character" w:customStyle="1" w:styleId="Heading2Char">
    <w:name w:val="Heading 2 Char"/>
    <w:basedOn w:val="DefaultParagraphFont"/>
    <w:link w:val="Heading2"/>
    <w:rsid w:val="008A44D2"/>
    <w:rPr>
      <w:rFonts w:ascii="Times New Roman" w:eastAsia="Times New Roman" w:hAnsi="Times New Roman" w:cs="Times New Roman"/>
      <w:b/>
      <w:snapToGrid w:val="0"/>
      <w:sz w:val="24"/>
      <w:szCs w:val="20"/>
      <w:lang w:eastAsia="pt-BR"/>
    </w:rPr>
  </w:style>
  <w:style w:type="character" w:customStyle="1" w:styleId="Heading3Char">
    <w:name w:val="Heading 3 Char"/>
    <w:basedOn w:val="DefaultParagraphFont"/>
    <w:link w:val="Heading3"/>
    <w:rsid w:val="008A44D2"/>
    <w:rPr>
      <w:rFonts w:ascii="Arial" w:eastAsia="Times New Roman" w:hAnsi="Arial" w:cs="Times New Roman"/>
      <w:snapToGrid w:val="0"/>
      <w:sz w:val="20"/>
      <w:szCs w:val="20"/>
      <w:u w:val="single"/>
      <w:lang w:eastAsia="pt-BR"/>
    </w:rPr>
  </w:style>
  <w:style w:type="character" w:customStyle="1" w:styleId="Heading4Char">
    <w:name w:val="Heading 4 Char"/>
    <w:basedOn w:val="DefaultParagraphFont"/>
    <w:link w:val="Heading4"/>
    <w:rsid w:val="008A44D2"/>
    <w:rPr>
      <w:rFonts w:ascii="Arial" w:eastAsia="Times New Roman" w:hAnsi="Arial" w:cs="Times New Roman"/>
      <w:smallCaps/>
      <w:snapToGrid w:val="0"/>
      <w:sz w:val="24"/>
      <w:szCs w:val="20"/>
      <w:lang w:eastAsia="pt-BR"/>
    </w:rPr>
  </w:style>
  <w:style w:type="character" w:customStyle="1" w:styleId="Heading5Char">
    <w:name w:val="Heading 5 Char"/>
    <w:basedOn w:val="DefaultParagraphFont"/>
    <w:link w:val="Heading5"/>
    <w:rsid w:val="008A44D2"/>
    <w:rPr>
      <w:rFonts w:ascii="Times New Roman" w:eastAsia="Times New Roman" w:hAnsi="Times New Roman" w:cs="Times New Roman"/>
      <w:snapToGrid w:val="0"/>
      <w:sz w:val="24"/>
      <w:szCs w:val="20"/>
      <w:lang w:eastAsia="pt-BR"/>
    </w:rPr>
  </w:style>
  <w:style w:type="character" w:customStyle="1" w:styleId="Heading6Char">
    <w:name w:val="Heading 6 Char"/>
    <w:basedOn w:val="DefaultParagraphFont"/>
    <w:link w:val="Heading6"/>
    <w:rsid w:val="008A44D2"/>
    <w:rPr>
      <w:rFonts w:ascii="Times New Roman" w:eastAsia="Times New Roman" w:hAnsi="Times New Roman" w:cs="Times New Roman"/>
      <w:b/>
      <w:bCs/>
      <w:snapToGrid w:val="0"/>
      <w:sz w:val="24"/>
      <w:szCs w:val="20"/>
      <w:lang w:eastAsia="pt-BR"/>
    </w:rPr>
  </w:style>
  <w:style w:type="character" w:customStyle="1" w:styleId="Heading8Char">
    <w:name w:val="Heading 8 Char"/>
    <w:basedOn w:val="DefaultParagraphFont"/>
    <w:link w:val="Heading8"/>
    <w:rsid w:val="008A44D2"/>
    <w:rPr>
      <w:rFonts w:ascii="Times New Roman" w:eastAsia="Times New Roman" w:hAnsi="Times New Roman" w:cs="Times New Roman"/>
      <w:b/>
      <w:bCs/>
      <w:snapToGrid w:val="0"/>
      <w:sz w:val="24"/>
      <w:szCs w:val="20"/>
      <w:lang w:eastAsia="pt-BR"/>
    </w:rPr>
  </w:style>
  <w:style w:type="character" w:customStyle="1" w:styleId="Heading9Char">
    <w:name w:val="Heading 9 Char"/>
    <w:basedOn w:val="DefaultParagraphFont"/>
    <w:link w:val="Heading9"/>
    <w:rsid w:val="008A44D2"/>
    <w:rPr>
      <w:rFonts w:ascii="Times New Roman" w:eastAsia="Times New Roman" w:hAnsi="Times New Roman" w:cs="Times New Roman"/>
      <w:snapToGrid w:val="0"/>
      <w:sz w:val="24"/>
      <w:szCs w:val="20"/>
      <w:lang w:eastAsia="pt-BR"/>
    </w:rPr>
  </w:style>
  <w:style w:type="paragraph" w:styleId="Footer">
    <w:name w:val="footer"/>
    <w:basedOn w:val="Normal"/>
    <w:link w:val="Footer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FooterChar">
    <w:name w:val="Footer Char"/>
    <w:basedOn w:val="DefaultParagraphFont"/>
    <w:link w:val="Footer"/>
    <w:uiPriority w:val="99"/>
    <w:rsid w:val="008A44D2"/>
    <w:rPr>
      <w:rFonts w:ascii="Times New Roman" w:eastAsia="Times New Roman" w:hAnsi="Times New Roman" w:cs="Times New Roman"/>
      <w:snapToGrid w:val="0"/>
      <w:szCs w:val="20"/>
      <w:lang w:eastAsia="pt-BR"/>
    </w:rPr>
  </w:style>
  <w:style w:type="character" w:styleId="PageNumber">
    <w:name w:val="page number"/>
    <w:basedOn w:val="DefaultParagraphFont"/>
    <w:rsid w:val="008A44D2"/>
  </w:style>
  <w:style w:type="paragraph" w:styleId="FootnoteText">
    <w:name w:val="footnote text"/>
    <w:basedOn w:val="Normal"/>
    <w:link w:val="FootnoteText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FootnoteTextChar">
    <w:name w:val="Footnote Text Char"/>
    <w:basedOn w:val="DefaultParagraphFont"/>
    <w:link w:val="FootnoteText"/>
    <w:semiHidden/>
    <w:rsid w:val="008A44D2"/>
    <w:rPr>
      <w:rFonts w:ascii="Times New Roman" w:eastAsia="Times New Roman" w:hAnsi="Times New Roman" w:cs="Times New Roman"/>
      <w:snapToGrid w:val="0"/>
      <w:sz w:val="20"/>
      <w:szCs w:val="20"/>
      <w:lang w:val="x-none" w:eastAsia="x-none"/>
    </w:rPr>
  </w:style>
  <w:style w:type="character" w:styleId="FootnoteReference">
    <w:name w:val="footnote reference"/>
    <w:semiHidden/>
    <w:rsid w:val="008A44D2"/>
    <w:rPr>
      <w:vertAlign w:val="superscript"/>
    </w:rPr>
  </w:style>
  <w:style w:type="paragraph" w:styleId="BodyTextIndent">
    <w:name w:val="Body Text Indent"/>
    <w:basedOn w:val="Normal"/>
    <w:link w:val="BodyTextIndent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BodyTextIndentChar">
    <w:name w:val="Body Text Indent Char"/>
    <w:basedOn w:val="DefaultParagraphFont"/>
    <w:link w:val="BodyTextIndent"/>
    <w:rsid w:val="008A44D2"/>
    <w:rPr>
      <w:rFonts w:ascii="Arial" w:eastAsia="Times New Roman" w:hAnsi="Arial" w:cs="Times New Roman"/>
      <w:snapToGrid w:val="0"/>
      <w:sz w:val="20"/>
      <w:szCs w:val="20"/>
      <w:lang w:eastAsia="pt-BR"/>
    </w:rPr>
  </w:style>
  <w:style w:type="paragraph" w:styleId="BodyTextIndent2">
    <w:name w:val="Body Text Indent 2"/>
    <w:basedOn w:val="Normal"/>
    <w:link w:val="BodyTextIndent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BodyTextIndent2Char">
    <w:name w:val="Body Text Indent 2 Char"/>
    <w:basedOn w:val="DefaultParagraphFont"/>
    <w:link w:val="BodyTextIndent2"/>
    <w:rsid w:val="008A44D2"/>
    <w:rPr>
      <w:rFonts w:ascii="Arial" w:eastAsia="Times New Roman" w:hAnsi="Arial" w:cs="Times New Roman"/>
      <w:snapToGrid w:val="0"/>
      <w:sz w:val="20"/>
      <w:szCs w:val="20"/>
      <w:lang w:eastAsia="pt-BR"/>
    </w:rPr>
  </w:style>
  <w:style w:type="paragraph" w:styleId="BodyTextIndent3">
    <w:name w:val="Body Text Indent 3"/>
    <w:basedOn w:val="Normal"/>
    <w:link w:val="BodyTextIndent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BodyTextIndent3Char">
    <w:name w:val="Body Text Indent 3 Char"/>
    <w:basedOn w:val="DefaultParagraphFont"/>
    <w:link w:val="BodyTextIndent3"/>
    <w:rsid w:val="008A44D2"/>
    <w:rPr>
      <w:rFonts w:ascii="Arial" w:eastAsia="Times New Roman" w:hAnsi="Arial" w:cs="Times New Roman"/>
      <w:snapToGrid w:val="0"/>
      <w:sz w:val="20"/>
      <w:szCs w:val="20"/>
      <w:lang w:eastAsia="pt-BR"/>
    </w:rPr>
  </w:style>
  <w:style w:type="paragraph" w:styleId="Header">
    <w:name w:val="header"/>
    <w:basedOn w:val="Normal"/>
    <w:link w:val="Header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HeaderChar">
    <w:name w:val="Header Char"/>
    <w:basedOn w:val="DefaultParagraphFont"/>
    <w:link w:val="Header"/>
    <w:uiPriority w:val="99"/>
    <w:rsid w:val="008A44D2"/>
    <w:rPr>
      <w:rFonts w:ascii="Times New Roman" w:eastAsia="Times New Roman" w:hAnsi="Times New Roman" w:cs="Times New Roman"/>
      <w:snapToGrid w:val="0"/>
      <w:sz w:val="20"/>
      <w:szCs w:val="20"/>
      <w:lang w:eastAsia="pt-BR"/>
    </w:rPr>
  </w:style>
  <w:style w:type="paragraph" w:styleId="BodyText2">
    <w:name w:val="Body Text 2"/>
    <w:basedOn w:val="Normal"/>
    <w:link w:val="BodyText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BodyText2Char">
    <w:name w:val="Body Text 2 Char"/>
    <w:basedOn w:val="DefaultParagraphFont"/>
    <w:link w:val="BodyText2"/>
    <w:rsid w:val="008A44D2"/>
    <w:rPr>
      <w:rFonts w:ascii="Times New Roman" w:eastAsia="Times New Roman" w:hAnsi="Times New Roman" w:cs="Times New Roman"/>
      <w:b/>
      <w:bCs/>
      <w:snapToGrid w:val="0"/>
      <w:sz w:val="24"/>
      <w:szCs w:val="20"/>
      <w:lang w:eastAsia="pt-BR"/>
    </w:rPr>
  </w:style>
  <w:style w:type="character" w:styleId="FollowedHyperlink">
    <w:name w:val="FollowedHyperlink"/>
    <w:rsid w:val="008A44D2"/>
    <w:rPr>
      <w:color w:val="800080"/>
      <w:u w:val="single"/>
    </w:rPr>
  </w:style>
  <w:style w:type="paragraph" w:styleId="BodyText3">
    <w:name w:val="Body Text 3"/>
    <w:basedOn w:val="Normal"/>
    <w:link w:val="BodyText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BodyText3Char">
    <w:name w:val="Body Text 3 Char"/>
    <w:basedOn w:val="DefaultParagraphFont"/>
    <w:link w:val="BodyText3"/>
    <w:rsid w:val="008A44D2"/>
    <w:rPr>
      <w:rFonts w:ascii="Times New Roman" w:eastAsia="Times New Roman" w:hAnsi="Times New Roman" w:cs="Times New Roman"/>
      <w:snapToGrid w:val="0"/>
      <w:sz w:val="24"/>
      <w:szCs w:val="20"/>
      <w:lang w:eastAsia="pt-BR"/>
    </w:rPr>
  </w:style>
  <w:style w:type="paragraph" w:customStyle="1" w:styleId="Estilo1">
    <w:name w:val="Estilo1"/>
    <w:basedOn w:val="NormalIndent"/>
    <w:rsid w:val="008A44D2"/>
    <w:pPr>
      <w:widowControl/>
      <w:ind w:left="0"/>
      <w:jc w:val="both"/>
    </w:pPr>
    <w:rPr>
      <w:rFonts w:ascii="Univers (WN)" w:hAnsi="Univers (WN)"/>
      <w:snapToGrid/>
    </w:rPr>
  </w:style>
  <w:style w:type="paragraph" w:styleId="NormalIndent">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OC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TOC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SubtleEmphasis">
    <w:name w:val="Subtle Emphasis"/>
    <w:uiPriority w:val="19"/>
    <w:qFormat/>
    <w:rsid w:val="008A44D2"/>
    <w:rPr>
      <w:i/>
      <w:iCs/>
      <w:color w:val="808080"/>
    </w:rPr>
  </w:style>
  <w:style w:type="paragraph" w:styleId="TOC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UnresolvedMention">
    <w:name w:val="Unresolved Mention"/>
    <w:basedOn w:val="DefaultParagraphFont"/>
    <w:uiPriority w:val="99"/>
    <w:semiHidden/>
    <w:unhideWhenUsed/>
    <w:rsid w:val="009D71A1"/>
    <w:rPr>
      <w:color w:val="605E5C"/>
      <w:shd w:val="clear" w:color="auto" w:fill="E1DFDD"/>
    </w:rPr>
  </w:style>
  <w:style w:type="paragraph" w:styleId="Revision">
    <w:name w:val="Revision"/>
    <w:hidden/>
    <w:uiPriority w:val="99"/>
    <w:semiHidden/>
    <w:rsid w:val="004A09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laboragov.sei.gov.br/sei/controlador_externo.php?acao=usuario_externo_logar&amp;id_orgao_acesso_externo=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45eeb21-54bf-4d0a-b6ac-b3cefff7e859">
      <Terms xmlns="http://schemas.microsoft.com/office/infopath/2007/PartnerControls"/>
    </lcf76f155ced4ddcb4097134ff3c332f>
    <TaxCatchAll xmlns="182dc7e9-28bc-489d-9529-1bfaf4a8119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6" ma:contentTypeDescription="Crie um novo documento." ma:contentTypeScope="" ma:versionID="7aae18000018c4988b8787cce335862b">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e32174ca5de93a677173914373c1b4b0"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F71A7E-DC68-4E89-9120-E6A56703FB78}">
  <ds:schemaRefs>
    <ds:schemaRef ds:uri="http://schemas.microsoft.com/sharepoint/v3/contenttype/forms"/>
  </ds:schemaRefs>
</ds:datastoreItem>
</file>

<file path=customXml/itemProps2.xml><?xml version="1.0" encoding="utf-8"?>
<ds:datastoreItem xmlns:ds="http://schemas.openxmlformats.org/officeDocument/2006/customXml" ds:itemID="{CD582700-1BBF-45D7-8798-A968D9CB74F8}">
  <ds:schemaRefs>
    <ds:schemaRef ds:uri="http://schemas.microsoft.com/office/2006/metadata/properties"/>
    <ds:schemaRef ds:uri="http://schemas.microsoft.com/office/infopath/2007/PartnerControls"/>
    <ds:schemaRef ds:uri="e45eeb21-54bf-4d0a-b6ac-b3cefff7e859"/>
    <ds:schemaRef ds:uri="182dc7e9-28bc-489d-9529-1bfaf4a81191"/>
  </ds:schemaRefs>
</ds:datastoreItem>
</file>

<file path=customXml/itemProps3.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4.xml><?xml version="1.0" encoding="utf-8"?>
<ds:datastoreItem xmlns:ds="http://schemas.openxmlformats.org/officeDocument/2006/customXml" ds:itemID="{92868DB8-2811-4BB5-A97B-63EBE88DA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15291</Words>
  <Characters>87164</Characters>
  <Application>Microsoft Office Word</Application>
  <DocSecurity>6</DocSecurity>
  <Lines>726</Lines>
  <Paragraphs>204</Paragraphs>
  <ScaleCrop>false</ScaleCrop>
  <Company/>
  <LinksUpToDate>false</LinksUpToDate>
  <CharactersWithSpaces>102251</CharactersWithSpaces>
  <SharedDoc>false</SharedDoc>
  <HLinks>
    <vt:vector size="6" baseType="variant">
      <vt:variant>
        <vt:i4>4390912</vt:i4>
      </vt:variant>
      <vt:variant>
        <vt:i4>0</vt:i4>
      </vt:variant>
      <vt:variant>
        <vt:i4>0</vt:i4>
      </vt:variant>
      <vt:variant>
        <vt:i4>5</vt:i4>
      </vt:variant>
      <vt:variant>
        <vt:lpwstr>https://colaboragov.sei.gov.br/sei/controlador_externo.php?acao=usuario_externo_logar&amp;id_orgao_acesso_externo=7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Faheina Gadelha</dc:creator>
  <cp:keywords/>
  <cp:lastModifiedBy>Claudia Yukari Asazu</cp:lastModifiedBy>
  <cp:revision>101</cp:revision>
  <dcterms:created xsi:type="dcterms:W3CDTF">2017-03-10T22:03:00Z</dcterms:created>
  <dcterms:modified xsi:type="dcterms:W3CDTF">2025-06-18T16:54:00Z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0x01010031ED28EFCE363D409B15FAF464462E85</vt:lpwstr>
  </property>
</Properties>
</file>